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atLeast"/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关于</w:t>
      </w: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201</w:t>
      </w:r>
      <w:r>
        <w:rPr>
          <w:rFonts w:hint="eastAsia" w:ascii="宋体" w:hAnsi="宋体" w:eastAsia="宋体" w:cs="Times New Roman"/>
          <w:b/>
          <w:kern w:val="0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年申报高级专业技术资格评审人员</w:t>
      </w:r>
    </w:p>
    <w:p>
      <w:pPr>
        <w:widowControl/>
        <w:snapToGrid w:val="0"/>
        <w:spacing w:line="600" w:lineRule="atLeast"/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代表作鉴定工作的通知</w:t>
      </w:r>
    </w:p>
    <w:p>
      <w:pPr>
        <w:pStyle w:val="5"/>
        <w:widowControl/>
        <w:snapToGrid w:val="0"/>
        <w:ind w:firstLine="0"/>
        <w:rPr>
          <w:rFonts w:eastAsia="仿宋_GB2312"/>
        </w:rPr>
      </w:pPr>
    </w:p>
    <w:p>
      <w:pPr>
        <w:pStyle w:val="5"/>
        <w:widowControl/>
        <w:snapToGrid w:val="0"/>
        <w:spacing w:line="520" w:lineRule="exact"/>
        <w:ind w:firstLine="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5"/>
        <w:widowControl/>
        <w:snapToGrid w:val="0"/>
        <w:spacing w:line="520" w:lineRule="exact"/>
        <w:ind w:firstLine="0"/>
        <w:jc w:val="both"/>
        <w:rPr>
          <w:rFonts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shd w:val="clear" w:color="auto" w:fill="FFFFFF"/>
          <w:lang w:eastAsia="zh-CN"/>
        </w:rPr>
        <w:t>各科室、部门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：</w:t>
      </w:r>
    </w:p>
    <w:p>
      <w:pPr>
        <w:pStyle w:val="5"/>
        <w:widowControl/>
        <w:snapToGrid w:val="0"/>
        <w:spacing w:line="520" w:lineRule="exact"/>
        <w:ind w:firstLine="560" w:firstLineChars="200"/>
        <w:jc w:val="both"/>
        <w:rPr>
          <w:rFonts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shd w:val="clear" w:color="auto" w:fill="FFFFFF"/>
          <w:lang w:eastAsia="zh-CN"/>
        </w:rPr>
        <w:t>接学校人事处通知，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019年申报高级专业技术资格评审人员代表作鉴定工作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  <w:lang w:eastAsia="zh-CN"/>
        </w:rPr>
        <w:t>已经开始，现将有关事项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通知如下：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黑体" w:hAnsi="Times New Roman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shd w:val="clear" w:color="auto" w:fill="FFFFFF"/>
        </w:rPr>
        <w:t>一、人员范围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1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拟于201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年申报高校系列高级专业技术资格(教授、副教授等)评审的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u w:val="none"/>
          <w:shd w:val="clear" w:color="auto" w:fill="FFFFFF"/>
          <w:lang w:bidi="ar"/>
        </w:rPr>
        <w:t>人员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u w:val="single"/>
          <w:shd w:val="clear" w:color="auto" w:fill="FFFFFF"/>
          <w:lang w:eastAsia="zh-CN" w:bidi="ar"/>
        </w:rPr>
        <w:t>（学校编制、医院编制）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；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2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拟于201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年申报卫生系列及其他系列高级专业技术资格评审的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u w:val="single"/>
          <w:shd w:val="clear" w:color="auto" w:fill="FFFFFF"/>
          <w:lang w:bidi="ar"/>
        </w:rPr>
        <w:t>学校编制人员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;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仿宋_GB2312"/>
          <w:color w:val="FF0000"/>
          <w:sz w:val="28"/>
          <w:szCs w:val="28"/>
          <w:u w:val="single"/>
          <w:shd w:val="clear" w:color="auto" w:fill="FFFFFF"/>
          <w:lang w:eastAsia="zh-CN" w:bidi="ar"/>
        </w:rPr>
      </w:pP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.具有正高或副高资格、拟申请聘任该专业技术职务的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u w:val="single"/>
          <w:shd w:val="clear" w:color="auto" w:fill="FFFFFF"/>
          <w:lang w:bidi="ar"/>
        </w:rPr>
        <w:t>学校编制人员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u w:val="single"/>
          <w:shd w:val="clear" w:color="auto" w:fill="FFFFFF"/>
          <w:lang w:eastAsia="zh-CN" w:bidi="ar"/>
        </w:rPr>
        <w:t>；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仿宋_GB2312" w:hAnsi="Times New Roman" w:eastAsia="仿宋_GB2312" w:cs="仿宋_GB2312"/>
          <w:color w:val="FF0000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val="en-US" w:eastAsia="zh-CN" w:bidi="ar"/>
        </w:rPr>
        <w:t>4.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201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年、201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年已提交代表作送审鉴定并且鉴定结论为“合格”的人员，无需再提交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u w:val="single"/>
          <w:shd w:val="clear" w:color="auto" w:fill="FFFFFF"/>
          <w:lang w:eastAsia="zh-CN" w:bidi="ar"/>
        </w:rPr>
        <w:t>（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u w:val="single"/>
          <w:shd w:val="clear" w:color="auto" w:fill="FFFFFF"/>
          <w:lang w:val="en-US" w:eastAsia="zh-CN" w:bidi="ar"/>
        </w:rPr>
        <w:t>2016年提交的人员，若需要再次申请评审的，需重新提交。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eastAsia="zh-CN" w:bidi="ar"/>
        </w:rPr>
        <w:t>）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  <w:lang w:bidi="ar"/>
        </w:rPr>
        <w:t>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  <w:lang w:val="en-US" w:eastAsia="zh-CN"/>
        </w:rPr>
        <w:t>上述不需要提交代表作中的第4类人员如自愿申请再提交代表作鉴定，必须提交另一篇（部），该代表作鉴定结果为最终结果。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黑体" w:hAnsi="Times New Roman" w:eastAsia="黑体"/>
          <w:sz w:val="28"/>
          <w:szCs w:val="28"/>
          <w:shd w:val="clear" w:color="auto" w:fill="FFFFFF"/>
        </w:rPr>
      </w:pPr>
      <w:r>
        <w:rPr>
          <w:rFonts w:hint="eastAsia" w:ascii="黑体" w:eastAsia="黑体" w:cs="黑体"/>
          <w:sz w:val="28"/>
          <w:szCs w:val="28"/>
          <w:shd w:val="clear" w:color="auto" w:fill="FFFFFF"/>
        </w:rPr>
        <w:t>二、代表作要求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所提交送审的代表作应符合以下条件：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>1</w:t>
      </w:r>
      <w:r>
        <w:rPr>
          <w:rFonts w:hint="eastAsia" w:ascii="Times New Roman" w:hAnsi="Times New Roman" w:eastAsia="仿宋_GB2312"/>
          <w:sz w:val="28"/>
          <w:szCs w:val="28"/>
          <w:shd w:val="clear" w:color="auto" w:fill="FFFFFF"/>
          <w:lang w:eastAsia="zh-CN"/>
        </w:rPr>
        <w:t>.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受聘现职以来至</w:t>
      </w: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>201</w:t>
      </w:r>
      <w:r>
        <w:rPr>
          <w:rFonts w:hint="eastAsia" w:ascii="Times New Roman" w:hAnsi="Times New Roman" w:eastAsia="仿宋_GB2312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年</w:t>
      </w: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>12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>31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日前公开发表或正式出版的论文或著作。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  <w:shd w:val="clear" w:color="auto" w:fill="FFFFFF"/>
        </w:rPr>
        <w:t>2</w:t>
      </w:r>
      <w:r>
        <w:rPr>
          <w:rFonts w:hint="eastAsia" w:ascii="Times New Roman" w:hAnsi="Times New Roman" w:eastAsia="仿宋_GB2312"/>
          <w:sz w:val="28"/>
          <w:szCs w:val="28"/>
          <w:shd w:val="clear" w:color="auto" w:fill="FFFFFF"/>
          <w:lang w:eastAsia="zh-CN"/>
        </w:rPr>
        <w:t>.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提交的论文应在核心期刊上发表，且署名第一或通讯作者，能在知网等数据库中查询到；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署名在第二及以后顺序的，或在增刊、内刊、特刊、专集、论文集上发表的论文无效。提交的论著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须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是正式出版，有正规刊号和版权页，且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是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独著或第一主编。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3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.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提交的代表作不得存在学术不端行为。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u w:val="single"/>
          <w:lang w:val="en-US" w:eastAsia="zh-CN"/>
        </w:rPr>
        <w:t>4.2019年以前鉴定为不合格的代表作，不得再重新提交鉴定。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黑体" w:hAnsi="Times New Roman" w:eastAsia="黑体"/>
          <w:sz w:val="28"/>
          <w:szCs w:val="28"/>
          <w:shd w:val="clear" w:color="auto" w:fill="FFFFFF"/>
        </w:rPr>
      </w:pPr>
      <w:r>
        <w:rPr>
          <w:rFonts w:hint="eastAsia" w:ascii="黑体" w:eastAsia="黑体" w:cs="黑体"/>
          <w:sz w:val="28"/>
          <w:szCs w:val="28"/>
          <w:shd w:val="clear" w:color="auto" w:fill="FFFFFF"/>
        </w:rPr>
        <w:t>三、鉴定结果的认定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代表作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实行一文（部）三审，即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提交的</w:t>
      </w:r>
      <w:r>
        <w:rPr>
          <w:rFonts w:ascii="Times New Roman" w:hAnsi="Times New Roman" w:eastAsia="仿宋_GB2312"/>
          <w:color w:val="000000"/>
          <w:sz w:val="28"/>
          <w:szCs w:val="28"/>
        </w:rPr>
        <w:t>1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篇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代表作由</w:t>
      </w:r>
      <w:r>
        <w:rPr>
          <w:rFonts w:ascii="Times New Roman" w:hAnsi="Times New Roman" w:eastAsia="仿宋_GB2312"/>
          <w:color w:val="000000"/>
          <w:sz w:val="28"/>
          <w:szCs w:val="28"/>
        </w:rPr>
        <w:t>3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个专家进行鉴定。每篇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代表作有</w:t>
      </w:r>
      <w:r>
        <w:rPr>
          <w:rFonts w:ascii="Times New Roman" w:hAnsi="Times New Roman" w:eastAsia="仿宋_GB2312"/>
          <w:color w:val="000000"/>
          <w:sz w:val="28"/>
          <w:szCs w:val="28"/>
        </w:rPr>
        <w:t>2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个及以上专家鉴定意见为“合格”，视为该代表作“合格”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  <w:shd w:val="clear" w:color="auto" w:fill="FFFFFF"/>
        </w:rPr>
      </w:pPr>
      <w:r>
        <w:rPr>
          <w:rFonts w:ascii="仿宋_GB2312" w:hAnsi="Times New Roman" w:eastAsia="仿宋_GB2312" w:cs="仿宋_GB2312"/>
          <w:color w:val="000000"/>
          <w:sz w:val="28"/>
          <w:szCs w:val="28"/>
        </w:rPr>
        <w:t>申报副高资格评审的，应提交</w:t>
      </w:r>
      <w:r>
        <w:rPr>
          <w:rFonts w:ascii="Times New Roman" w:hAnsi="Times New Roman" w:eastAsia="仿宋_GB2312"/>
          <w:color w:val="000000"/>
          <w:sz w:val="28"/>
          <w:szCs w:val="28"/>
        </w:rPr>
        <w:t>1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篇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代表作，代表作鉴定为</w:t>
      </w:r>
      <w:r>
        <w:rPr>
          <w:rFonts w:ascii="Times New Roman" w:hAnsi="Times New Roman" w:eastAsia="仿宋_GB2312"/>
          <w:color w:val="000000"/>
          <w:sz w:val="28"/>
          <w:szCs w:val="28"/>
        </w:rPr>
        <w:t>“合格”，视为其代表作“合格”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仿宋_GB2312" w:hAnsi="Times New Roman" w:eastAsia="仿宋_GB2312" w:cs="仿宋_GB2312"/>
          <w:color w:val="000000"/>
          <w:sz w:val="28"/>
          <w:szCs w:val="28"/>
        </w:rPr>
        <w:t>申报正高资格评审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或破格申报副高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的，应提交</w:t>
      </w:r>
      <w:r>
        <w:rPr>
          <w:rFonts w:ascii="Times New Roman" w:hAnsi="Times New Roman" w:eastAsia="仿宋_GB2312"/>
          <w:color w:val="000000"/>
          <w:sz w:val="28"/>
          <w:szCs w:val="28"/>
        </w:rPr>
        <w:t>2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篇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代表作，</w:t>
      </w:r>
      <w:r>
        <w:rPr>
          <w:rFonts w:ascii="Times New Roman" w:hAnsi="Times New Roman" w:eastAsia="仿宋_GB2312"/>
          <w:color w:val="000000"/>
          <w:sz w:val="28"/>
          <w:szCs w:val="28"/>
        </w:rPr>
        <w:t>2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篇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代表作均鉴定为</w:t>
      </w:r>
      <w:r>
        <w:rPr>
          <w:rFonts w:ascii="Times New Roman" w:hAnsi="Times New Roman" w:eastAsia="仿宋_GB2312"/>
          <w:color w:val="000000"/>
          <w:sz w:val="28"/>
          <w:szCs w:val="28"/>
        </w:rPr>
        <w:t>“合格”，则视为其代表作“合格”。如有1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篇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28"/>
          <w:szCs w:val="28"/>
        </w:rPr>
        <w:t>代表作均鉴定为</w:t>
      </w:r>
      <w:r>
        <w:rPr>
          <w:rFonts w:ascii="Times New Roman" w:hAnsi="Times New Roman" w:eastAsia="仿宋_GB2312"/>
          <w:color w:val="000000"/>
          <w:sz w:val="28"/>
          <w:szCs w:val="28"/>
        </w:rPr>
        <w:t>“不合格”，则视为其代表作“不合格”。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eastAsia="黑体" w:cs="黑体"/>
          <w:sz w:val="28"/>
          <w:szCs w:val="28"/>
          <w:shd w:val="clear" w:color="auto" w:fill="FFFFFF"/>
        </w:rPr>
        <w:t>四、申报人员需报送的材料</w:t>
      </w:r>
    </w:p>
    <w:p>
      <w:pPr>
        <w:pStyle w:val="5"/>
        <w:widowControl/>
        <w:snapToGrid w:val="0"/>
        <w:spacing w:line="520" w:lineRule="exact"/>
        <w:ind w:firstLine="562" w:firstLineChars="200"/>
        <w:jc w:val="both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shd w:val="clear" w:color="auto" w:fill="FFFFFF"/>
        </w:rPr>
        <w:t>（一）</w:t>
      </w:r>
      <w:r>
        <w:rPr>
          <w:rFonts w:ascii="仿宋_GB2312" w:eastAsia="仿宋_GB2312" w:cs="仿宋_GB2312"/>
          <w:b/>
          <w:sz w:val="28"/>
          <w:szCs w:val="28"/>
          <w:shd w:val="clear" w:color="auto" w:fill="FFFFFF"/>
        </w:rPr>
        <w:t>代表作</w:t>
      </w:r>
    </w:p>
    <w:p>
      <w:pPr>
        <w:pStyle w:val="5"/>
        <w:widowControl/>
        <w:snapToGrid w:val="0"/>
        <w:spacing w:line="520" w:lineRule="exact"/>
        <w:ind w:firstLine="560" w:firstLineChars="200"/>
        <w:jc w:val="both"/>
        <w:rPr>
          <w:rFonts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以论文作为代表作的，需提供复印件一式三份及知网等数据库搜索截图（见附件</w:t>
      </w:r>
      <w:r>
        <w:rPr>
          <w:rFonts w:hint="eastAsia" w:eastAsia="仿宋_GB2312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）；被</w:t>
      </w:r>
      <w:r>
        <w:rPr>
          <w:rFonts w:eastAsia="仿宋_GB2312"/>
          <w:sz w:val="28"/>
          <w:szCs w:val="28"/>
          <w:shd w:val="clear" w:color="auto" w:fill="FFFFFF"/>
        </w:rPr>
        <w:t>SCI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、</w:t>
      </w:r>
      <w:r>
        <w:rPr>
          <w:rFonts w:eastAsia="仿宋_GB2312"/>
          <w:sz w:val="28"/>
          <w:szCs w:val="28"/>
          <w:shd w:val="clear" w:color="auto" w:fill="FFFFFF"/>
        </w:rPr>
        <w:t>EI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等收录的论文，应同时提供中文版论文及有资质的检索机构出具的证明一式三份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  <w:lang w:val="en-US" w:eastAsia="zh-CN"/>
        </w:rPr>
        <w:t>2019年以前提交过的，可不用再提交）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。以论著为代表作的，需提供原件一式三份。</w:t>
      </w:r>
    </w:p>
    <w:p>
      <w:pPr>
        <w:pStyle w:val="5"/>
        <w:widowControl/>
        <w:snapToGrid w:val="0"/>
        <w:spacing w:line="520" w:lineRule="exact"/>
        <w:ind w:firstLine="560" w:firstLineChars="200"/>
        <w:jc w:val="both"/>
        <w:rPr>
          <w:rFonts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以论文为代表作的制作方法：（</w:t>
      </w:r>
      <w:r>
        <w:rPr>
          <w:rFonts w:eastAsia="仿宋_GB2312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）将论文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  <w:lang w:eastAsia="zh-CN"/>
        </w:rPr>
        <w:t>正文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中涉及到个人及单位的所有信息遮盖后进行复印，如标题下方、页眉、页脚、论文结尾等处的信息，既包含中文信息，也包括英文或拼音信息；（</w:t>
      </w:r>
      <w:r>
        <w:rPr>
          <w:rFonts w:eastAsia="仿宋_GB2312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）用</w:t>
      </w:r>
      <w:r>
        <w:rPr>
          <w:rFonts w:eastAsia="仿宋_GB2312"/>
          <w:sz w:val="28"/>
          <w:szCs w:val="28"/>
          <w:shd w:val="clear" w:color="auto" w:fill="FFFFFF"/>
        </w:rPr>
        <w:t>A4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纸正反面复印，复印时应保证页面清楚、工整，保证内容完整；（</w:t>
      </w:r>
      <w:r>
        <w:rPr>
          <w:rFonts w:eastAsia="仿宋_GB2312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）需在复印论文首页右侧贴上</w:t>
      </w:r>
      <w:r>
        <w:rPr>
          <w:rFonts w:eastAsia="仿宋_GB2312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代表作</w:t>
      </w:r>
      <w:r>
        <w:rPr>
          <w:rFonts w:eastAsia="仿宋_GB2312"/>
          <w:sz w:val="28"/>
          <w:szCs w:val="28"/>
          <w:shd w:val="clear" w:color="auto" w:fill="FFFFFF"/>
        </w:rPr>
        <w:t>1”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、</w:t>
      </w:r>
      <w:r>
        <w:rPr>
          <w:rFonts w:eastAsia="仿宋_GB2312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代表作</w:t>
      </w:r>
      <w:r>
        <w:rPr>
          <w:rFonts w:eastAsia="仿宋_GB2312"/>
          <w:sz w:val="28"/>
          <w:szCs w:val="28"/>
          <w:shd w:val="clear" w:color="auto" w:fill="FFFFFF"/>
        </w:rPr>
        <w:t>2”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等标签。具体参见</w:t>
      </w:r>
      <w:r>
        <w:rPr>
          <w:rFonts w:eastAsia="仿宋_GB2312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代表作（论文）复印示例</w:t>
      </w:r>
      <w:r>
        <w:rPr>
          <w:rFonts w:eastAsia="仿宋_GB2312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（见附件</w:t>
      </w:r>
      <w:r>
        <w:rPr>
          <w:rFonts w:hint="eastAsia" w:eastAsia="仿宋_GB2312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）。</w:t>
      </w:r>
    </w:p>
    <w:p>
      <w:pPr>
        <w:pStyle w:val="5"/>
        <w:widowControl/>
        <w:snapToGrid w:val="0"/>
        <w:spacing w:line="520" w:lineRule="exact"/>
        <w:ind w:firstLine="560" w:firstLineChars="200"/>
        <w:jc w:val="both"/>
        <w:rPr>
          <w:rFonts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从知网等数据库搜索的截图，应是整个网页页面的截图，打印后应保持清晰。</w:t>
      </w:r>
    </w:p>
    <w:p>
      <w:pPr>
        <w:pStyle w:val="5"/>
        <w:widowControl/>
        <w:snapToGrid w:val="0"/>
        <w:spacing w:line="520" w:lineRule="exact"/>
        <w:ind w:firstLine="562" w:firstLineChars="200"/>
        <w:jc w:val="both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shd w:val="clear" w:color="auto" w:fill="FFFFFF"/>
        </w:rPr>
        <w:t>（二）</w:t>
      </w:r>
      <w:r>
        <w:rPr>
          <w:rFonts w:ascii="仿宋_GB2312" w:eastAsia="仿宋_GB2312" w:cs="仿宋_GB2312"/>
          <w:b/>
          <w:sz w:val="28"/>
          <w:szCs w:val="28"/>
          <w:shd w:val="clear" w:color="auto" w:fill="FFFFFF"/>
        </w:rPr>
        <w:t>其他支撑材料</w:t>
      </w:r>
    </w:p>
    <w:p>
      <w:pPr>
        <w:pStyle w:val="5"/>
        <w:widowControl/>
        <w:snapToGrid w:val="0"/>
        <w:spacing w:line="520" w:lineRule="exact"/>
        <w:ind w:firstLine="560" w:firstLineChars="200"/>
        <w:jc w:val="both"/>
        <w:rPr>
          <w:rFonts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提供与代表作相关的课题、获奖等作为支撑材料的，总数不超过</w:t>
      </w:r>
      <w:r>
        <w:rPr>
          <w:rFonts w:eastAsia="仿宋_GB2312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个，供专家鉴定时作参考。支撑材料同样为复印件，复印方法与代表作相同，均须隐去本人信息。支撑材料复印件份数与代表作份数相同。</w:t>
      </w:r>
    </w:p>
    <w:p>
      <w:pPr>
        <w:pStyle w:val="5"/>
        <w:widowControl/>
        <w:snapToGrid w:val="0"/>
        <w:spacing w:line="520" w:lineRule="exact"/>
        <w:ind w:firstLine="562" w:firstLineChars="200"/>
        <w:jc w:val="both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shd w:val="clear" w:color="auto" w:fill="FFFFFF"/>
        </w:rPr>
        <w:t>（三）</w:t>
      </w:r>
      <w:r>
        <w:rPr>
          <w:rFonts w:ascii="仿宋_GB2312" w:eastAsia="仿宋_GB2312" w:cs="仿宋_GB2312"/>
          <w:b/>
          <w:sz w:val="28"/>
          <w:szCs w:val="28"/>
          <w:shd w:val="clear" w:color="auto" w:fill="FFFFFF"/>
        </w:rPr>
        <w:t>同行专家鉴定表</w:t>
      </w:r>
    </w:p>
    <w:p>
      <w:pPr>
        <w:pStyle w:val="5"/>
        <w:widowControl/>
        <w:snapToGrid w:val="0"/>
        <w:spacing w:line="520" w:lineRule="exact"/>
        <w:ind w:firstLine="560" w:firstLineChars="200"/>
        <w:jc w:val="both"/>
        <w:rPr>
          <w:rFonts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申报人员从附件</w:t>
      </w:r>
      <w:r>
        <w:rPr>
          <w:rFonts w:eastAsia="仿宋_GB2312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下载本表，按填表说明填写。每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份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代表作鉴定表正反面打印三份。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黑体" w:eastAsia="黑体" w:cs="黑体"/>
          <w:color w:val="FF0000"/>
          <w:sz w:val="28"/>
          <w:szCs w:val="28"/>
          <w:shd w:val="clear" w:color="auto" w:fill="FFFFFF"/>
        </w:rPr>
      </w:pPr>
      <w:r>
        <w:rPr>
          <w:rFonts w:hint="eastAsia" w:ascii="黑体" w:eastAsia="黑体" w:cs="黑体"/>
          <w:color w:val="FF0000"/>
          <w:sz w:val="28"/>
          <w:szCs w:val="28"/>
          <w:shd w:val="clear" w:color="auto" w:fill="FFFFFF"/>
        </w:rPr>
        <w:t>五、鉴定费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仿宋_GB2312" w:hAnsi="Times New Roman" w:eastAsia="仿宋_GB2312" w:cs="仿宋_GB2312"/>
          <w:color w:val="FF0000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color w:val="FF0000"/>
          <w:sz w:val="28"/>
          <w:szCs w:val="28"/>
          <w:shd w:val="clear" w:color="auto" w:fill="FFFFFF"/>
        </w:rPr>
        <w:t>申报人提交论文为代表作的，每篇需交鉴定费600元；提交论著为代表作的，每部需交鉴定费900元。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黑体" w:hAnsi="Times New Roman" w:eastAsia="黑体"/>
          <w:sz w:val="28"/>
          <w:szCs w:val="28"/>
          <w:shd w:val="clear" w:color="auto" w:fill="FFFFFF"/>
        </w:rPr>
      </w:pPr>
      <w:r>
        <w:rPr>
          <w:rFonts w:hint="eastAsia" w:ascii="黑体" w:eastAsia="黑体" w:cs="黑体"/>
          <w:sz w:val="28"/>
          <w:szCs w:val="28"/>
          <w:shd w:val="clear" w:color="auto" w:fill="FFFFFF"/>
        </w:rPr>
        <w:t>六、材料报送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（一）申报人员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申报人员根据要求，整理好代表作、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同行专家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鉴定表及其他材料，将代表作、鉴定表、鉴定费一并送交本部门。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（二）部门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1.部门收集申报人员材料后，对代表作复印件及其截图审核，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  <w:lang w:eastAsia="zh-CN"/>
        </w:rPr>
        <w:t>审核材料是否完整、规范：材料份数详见本条第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  <w:lang w:val="en-US" w:eastAsia="zh-CN"/>
        </w:rPr>
        <w:t>2款第（1）（2）（4）要求、材料规范要求详见第四条“（一）代表作”第一、二、三段内容要求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填写《201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年代表作鉴定汇总表》（附件4），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  <w:lang w:eastAsia="zh-CN"/>
        </w:rPr>
        <w:t>个人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将代表作鉴定费统一交到学校计财处账户。具体是：</w:t>
      </w:r>
    </w:p>
    <w:p>
      <w:pPr>
        <w:widowControl/>
        <w:snapToGrid w:val="0"/>
        <w:spacing w:line="520" w:lineRule="exact"/>
        <w:ind w:firstLine="560" w:firstLineChars="200"/>
        <w:rPr>
          <w:rFonts w:ascii="仿宋_GB2312" w:hAnsi="Times New Roman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shd w:val="clear" w:color="auto" w:fill="FFFFFF"/>
        </w:rPr>
        <w:t>户    名：江西中医药大学</w:t>
      </w:r>
    </w:p>
    <w:p>
      <w:pPr>
        <w:widowControl/>
        <w:snapToGrid w:val="0"/>
        <w:spacing w:line="520" w:lineRule="exact"/>
        <w:ind w:firstLine="560" w:firstLineChars="200"/>
        <w:rPr>
          <w:rFonts w:ascii="仿宋_GB2312" w:hAnsi="Times New Roman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shd w:val="clear" w:color="auto" w:fill="FFFFFF"/>
        </w:rPr>
        <w:t>账    号：14984001040000018</w:t>
      </w:r>
    </w:p>
    <w:p>
      <w:pPr>
        <w:widowControl/>
        <w:snapToGrid w:val="0"/>
        <w:spacing w:line="520" w:lineRule="exact"/>
        <w:ind w:firstLine="560" w:firstLineChars="200"/>
        <w:rPr>
          <w:rFonts w:ascii="仿宋_GB2312" w:hAnsi="Times New Roman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shd w:val="clear" w:color="auto" w:fill="FFFFFF"/>
        </w:rPr>
        <w:t>开 户 行：农行江西省南昌市青云谱支行新苑支行</w:t>
      </w:r>
    </w:p>
    <w:p>
      <w:pPr>
        <w:widowControl/>
        <w:snapToGrid w:val="0"/>
        <w:spacing w:line="520" w:lineRule="exact"/>
        <w:ind w:firstLine="560" w:firstLineChars="200"/>
        <w:rPr>
          <w:rFonts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shd w:val="clear" w:color="auto" w:fill="FFFFFF"/>
        </w:rPr>
        <w:t>缴费备注：xxx（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shd w:val="clear" w:color="auto" w:fill="FFFFFF"/>
          <w:lang w:eastAsia="zh-CN"/>
        </w:rPr>
        <w:t>申报人员姓名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shd w:val="clear" w:color="auto" w:fill="FFFFFF"/>
        </w:rPr>
        <w:t>）代表作鉴定费</w:t>
      </w:r>
    </w:p>
    <w:p>
      <w:pPr>
        <w:pStyle w:val="5"/>
        <w:widowControl/>
        <w:snapToGrid w:val="0"/>
        <w:spacing w:line="520" w:lineRule="exact"/>
        <w:ind w:firstLine="560" w:firstLineChars="200"/>
        <w:jc w:val="both"/>
        <w:rPr>
          <w:rFonts w:asci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2.部门在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月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  <w:lang w:val="en-US" w:eastAsia="zh-CN"/>
        </w:rPr>
        <w:t>29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日前将以下材料报送至校职称工作领导小组办公室（人事处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  <w:lang w:eastAsia="zh-CN"/>
        </w:rPr>
        <w:t>职称科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）。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（1）代表作（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申报正高或破格申报副高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六份，一式三份；正常申报副高三份）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；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（2）同行专家代表作鉴定表（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份数与代表作一致）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；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（3）201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年代表作鉴定汇总表一份；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（4）其他支撑材料（份数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与代表作一致）；</w:t>
      </w:r>
    </w:p>
    <w:p>
      <w:pPr>
        <w:pStyle w:val="5"/>
        <w:widowControl/>
        <w:snapToGrid w:val="0"/>
        <w:spacing w:line="520" w:lineRule="exact"/>
        <w:ind w:firstLine="560" w:firstLineChars="200"/>
        <w:jc w:val="both"/>
        <w:rPr>
          <w:rFonts w:asci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（5）汇总表及缴费单据电子版。</w:t>
      </w:r>
    </w:p>
    <w:p>
      <w:pPr>
        <w:pStyle w:val="2"/>
        <w:snapToGrid w:val="0"/>
        <w:spacing w:beforeAutospacing="0" w:afterAutospacing="0" w:line="52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shd w:val="clear" w:color="auto" w:fill="FFFFFF"/>
        </w:rPr>
        <w:t>七、有关要求</w:t>
      </w:r>
    </w:p>
    <w:p>
      <w:pPr>
        <w:widowControl/>
        <w:snapToGrid w:val="0"/>
        <w:spacing w:line="520" w:lineRule="exact"/>
        <w:ind w:firstLine="560" w:firstLineChars="200"/>
        <w:rPr>
          <w:rFonts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（一）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代表作鉴定是职称评审的必经环节，应提交而未提交代表作鉴定的人员，不能申报当年职称评审。请各部门务必重视，通知到每一位专业技术人员。</w:t>
      </w:r>
    </w:p>
    <w:p>
      <w:pPr>
        <w:widowControl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（二）</w:t>
      </w:r>
      <w:r>
        <w:rPr>
          <w:rFonts w:ascii="仿宋_GB2312" w:hAnsi="Times New Roman" w:eastAsia="仿宋_GB2312" w:cs="仿宋_GB2312"/>
          <w:kern w:val="0"/>
          <w:sz w:val="28"/>
          <w:szCs w:val="28"/>
        </w:rPr>
        <w:t>申报人员必须严格按照要求做好填报准备工作，所提供的代表作必须符合要求。</w:t>
      </w:r>
      <w:r>
        <w:rPr>
          <w:rFonts w:ascii="仿宋_GB2312" w:eastAsia="仿宋_GB2312" w:cs="仿宋_GB2312"/>
          <w:sz w:val="28"/>
          <w:szCs w:val="28"/>
        </w:rPr>
        <w:t>表格填报和材料准备不符合要求的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不予接收。</w:t>
      </w:r>
      <w:r>
        <w:rPr>
          <w:rFonts w:hint="eastAsia" w:ascii="仿宋_GB2312" w:eastAsia="仿宋_GB2312" w:cs="仿宋_GB2312"/>
          <w:sz w:val="28"/>
          <w:szCs w:val="28"/>
        </w:rPr>
        <w:t>由于代表作实行统一送校外鉴定，材料较多，具有时间性，请申报人员和部门务必按规定时间报送。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（三）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申报人员不得提交</w:t>
      </w:r>
      <w:r>
        <w:rPr>
          <w:rFonts w:ascii="仿宋_GB2312" w:hAnsi="Times New Roman" w:eastAsia="仿宋_GB2312" w:cs="仿宋_GB2312"/>
          <w:sz w:val="28"/>
          <w:szCs w:val="28"/>
        </w:rPr>
        <w:t>涉嫌学术不端的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代表作，如该代表作经检测或者被专家认定为</w:t>
      </w:r>
      <w:r>
        <w:rPr>
          <w:rFonts w:ascii="仿宋_GB2312" w:hAnsi="Times New Roman" w:eastAsia="仿宋_GB2312" w:cs="仿宋_GB2312"/>
          <w:sz w:val="28"/>
          <w:szCs w:val="28"/>
        </w:rPr>
        <w:t>涉嫌学术不端的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，将</w:t>
      </w:r>
      <w:r>
        <w:rPr>
          <w:rFonts w:ascii="仿宋_GB2312" w:hAnsi="Times New Roman" w:eastAsia="仿宋_GB2312" w:cs="仿宋_GB2312"/>
          <w:sz w:val="28"/>
          <w:szCs w:val="28"/>
        </w:rPr>
        <w:t>视情节轻重，分别给予处理。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（四）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本次</w:t>
      </w:r>
      <w:r>
        <w:rPr>
          <w:rFonts w:ascii="仿宋_GB2312" w:hAnsi="Times New Roman" w:eastAsia="仿宋_GB2312" w:cs="仿宋_GB2312"/>
          <w:sz w:val="28"/>
          <w:szCs w:val="28"/>
        </w:rPr>
        <w:t>代表作</w:t>
      </w:r>
      <w:r>
        <w:rPr>
          <w:rFonts w:ascii="Times New Roman" w:hAnsi="Times New Roman" w:eastAsia="仿宋_GB2312"/>
          <w:sz w:val="28"/>
          <w:szCs w:val="28"/>
        </w:rPr>
        <w:t>“</w:t>
      </w:r>
      <w:r>
        <w:rPr>
          <w:rFonts w:ascii="仿宋_GB2312" w:hAnsi="Times New Roman" w:eastAsia="仿宋_GB2312" w:cs="仿宋_GB2312"/>
          <w:sz w:val="28"/>
          <w:szCs w:val="28"/>
        </w:rPr>
        <w:t>不合格</w:t>
      </w:r>
      <w:r>
        <w:rPr>
          <w:rFonts w:ascii="Times New Roman" w:hAnsi="Times New Roman" w:eastAsia="仿宋_GB2312"/>
          <w:sz w:val="28"/>
          <w:szCs w:val="28"/>
        </w:rPr>
        <w:t>”</w:t>
      </w:r>
      <w:r>
        <w:rPr>
          <w:rFonts w:ascii="仿宋_GB2312" w:hAnsi="Times New Roman" w:eastAsia="仿宋_GB2312" w:cs="仿宋_GB2312"/>
          <w:sz w:val="28"/>
          <w:szCs w:val="28"/>
        </w:rPr>
        <w:t>的人员，不得重新申请鉴定，不得申报</w:t>
      </w:r>
      <w:r>
        <w:rPr>
          <w:rFonts w:hint="eastAsia" w:ascii="仿宋_GB2312" w:hAnsi="Times New Roman" w:eastAsia="仿宋_GB2312" w:cs="仿宋_GB2312"/>
          <w:sz w:val="28"/>
          <w:szCs w:val="28"/>
        </w:rPr>
        <w:t>201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/>
        </w:rPr>
        <w:t>9</w:t>
      </w:r>
      <w:r>
        <w:rPr>
          <w:rFonts w:ascii="仿宋_GB2312" w:hAnsi="Times New Roman" w:eastAsia="仿宋_GB2312" w:cs="仿宋_GB2312"/>
          <w:sz w:val="28"/>
          <w:szCs w:val="28"/>
        </w:rPr>
        <w:t>年的职称评审。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2" w:firstLineChars="200"/>
        <w:jc w:val="both"/>
        <w:rPr>
          <w:rFonts w:hint="eastAsia" w:ascii="仿宋_GB2312" w:hAnsi="Times New Roman" w:eastAsia="仿宋_GB2312" w:cs="仿宋_GB2312"/>
          <w:b/>
          <w:bCs/>
          <w:color w:val="FF0000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color w:val="FF0000"/>
          <w:sz w:val="28"/>
          <w:szCs w:val="28"/>
        </w:rPr>
        <w:t>八、材料报送时间及地点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hint="eastAsia" w:ascii="仿宋_GB2312" w:hAnsi="Times New Roman" w:eastAsia="仿宋_GB2312" w:cs="仿宋_GB2312"/>
          <w:color w:val="FF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FF0000"/>
          <w:sz w:val="28"/>
          <w:szCs w:val="28"/>
        </w:rPr>
        <w:t>1.报送时间：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</w:rPr>
        <w:t>月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lang w:val="en-US" w:eastAsia="zh-CN"/>
        </w:rPr>
        <w:t>27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</w:rPr>
        <w:t>日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  <w:lang w:eastAsia="zh-CN"/>
        </w:rPr>
        <w:t>（星期三）</w:t>
      </w:r>
      <w:r>
        <w:rPr>
          <w:rFonts w:hint="eastAsia" w:ascii="仿宋_GB2312" w:hAnsi="Times New Roman" w:eastAsia="仿宋_GB2312" w:cs="仿宋_GB2312"/>
          <w:color w:val="FF0000"/>
          <w:sz w:val="28"/>
          <w:szCs w:val="28"/>
        </w:rPr>
        <w:t>之前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2.报送地点：医院人力资源部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3.联 系 人：刘金丁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4.联系电话：86221952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5.邮    箱：627024640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@</w:t>
      </w:r>
      <w:r>
        <w:rPr>
          <w:rFonts w:hint="eastAsia" w:ascii="仿宋_GB2312" w:hAnsi="Times New Roman" w:eastAsia="仿宋_GB2312" w:cs="仿宋_GB2312"/>
          <w:sz w:val="28"/>
          <w:szCs w:val="28"/>
        </w:rPr>
        <w:t>qq.com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6.所需详细材料：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（1）申报人员需自备档案袋，并将《同行专家鉴定表》纸质版、代表作纸质版、汇总表纸质版、主要支撑业绩复印件、代表作缴费用等材料装入档案袋中。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（2）所需的同行专家鉴定表电子版、代表作电子版、汇总表电子版发送至上述邮箱。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ascii="仿宋_GB2312" w:hAnsi="Times New Roman" w:eastAsia="仿宋_GB2312" w:cs="仿宋_GB2312"/>
          <w:sz w:val="28"/>
          <w:szCs w:val="28"/>
        </w:rPr>
      </w:pPr>
    </w:p>
    <w:p>
      <w:pPr>
        <w:widowControl/>
        <w:snapToGrid w:val="0"/>
        <w:spacing w:line="520" w:lineRule="exac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仿宋_GB2312" w:hAnsi="Times New Roman" w:eastAsia="仿宋_GB2312" w:cs="仿宋_GB2312"/>
          <w:kern w:val="0"/>
          <w:sz w:val="28"/>
          <w:szCs w:val="28"/>
        </w:rPr>
        <w:t>附件：</w:t>
      </w:r>
    </w:p>
    <w:p>
      <w:pPr>
        <w:widowControl/>
        <w:snapToGrid w:val="0"/>
        <w:spacing w:line="520" w:lineRule="exact"/>
        <w:ind w:left="64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</w:t>
      </w:r>
      <w:r>
        <w:rPr>
          <w:rFonts w:ascii="仿宋_GB2312" w:hAnsi="Times New Roman" w:eastAsia="仿宋_GB2312" w:cs="仿宋_GB2312"/>
          <w:kern w:val="0"/>
          <w:sz w:val="28"/>
          <w:szCs w:val="28"/>
        </w:rPr>
        <w:t>．代表作同行专家鉴定表（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201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ascii="仿宋_GB2312" w:hAnsi="Times New Roman" w:eastAsia="仿宋_GB2312" w:cs="仿宋_GB2312"/>
          <w:kern w:val="0"/>
          <w:sz w:val="28"/>
          <w:szCs w:val="28"/>
        </w:rPr>
        <w:t>版）</w:t>
      </w:r>
    </w:p>
    <w:p>
      <w:pPr>
        <w:widowControl/>
        <w:snapToGrid w:val="0"/>
        <w:spacing w:line="520" w:lineRule="exact"/>
        <w:ind w:left="64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</w:t>
      </w:r>
      <w:r>
        <w:rPr>
          <w:rFonts w:ascii="仿宋_GB2312" w:hAnsi="Times New Roman" w:eastAsia="仿宋_GB2312" w:cs="仿宋_GB2312"/>
          <w:kern w:val="0"/>
          <w:sz w:val="28"/>
          <w:szCs w:val="28"/>
        </w:rPr>
        <w:t>．知网等数据库证明（示例截图）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ascii="仿宋_GB2312" w:hAnsi="Times New Roman" w:eastAsia="仿宋_GB2312" w:cs="仿宋_GB2312"/>
          <w:sz w:val="28"/>
          <w:szCs w:val="28"/>
        </w:rPr>
        <w:t>．</w:t>
      </w:r>
      <w:r>
        <w:rPr>
          <w:rFonts w:ascii="仿宋_GB2312" w:hAnsi="Times New Roman" w:eastAsia="仿宋_GB2312" w:cs="仿宋_GB2312"/>
          <w:sz w:val="28"/>
          <w:szCs w:val="28"/>
          <w:shd w:val="clear" w:color="auto" w:fill="FFFFFF"/>
        </w:rPr>
        <w:t>代表作（论文）示例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 xml:space="preserve">4. 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201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Times New Roman" w:eastAsia="仿宋_GB2312" w:cs="仿宋_GB2312"/>
          <w:sz w:val="28"/>
          <w:szCs w:val="28"/>
          <w:shd w:val="clear" w:color="auto" w:fill="FFFFFF"/>
        </w:rPr>
        <w:t>年代表作鉴定汇总表</w:t>
      </w: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</w:p>
    <w:p>
      <w:pPr>
        <w:pStyle w:val="2"/>
        <w:snapToGrid w:val="0"/>
        <w:spacing w:beforeAutospacing="0" w:afterAutospacing="0" w:line="520" w:lineRule="exact"/>
        <w:ind w:right="-92" w:rightChars="-44"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</w:p>
    <w:p>
      <w:pPr>
        <w:pStyle w:val="2"/>
        <w:snapToGrid w:val="0"/>
        <w:spacing w:beforeAutospacing="0" w:afterAutospacing="0" w:line="520" w:lineRule="exact"/>
        <w:ind w:right="-92" w:rightChars="-44" w:firstLine="700" w:firstLineChars="250"/>
        <w:jc w:val="center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人力资源部</w:t>
      </w:r>
    </w:p>
    <w:p>
      <w:pPr>
        <w:pStyle w:val="2"/>
        <w:snapToGrid w:val="0"/>
        <w:spacing w:beforeAutospacing="0" w:afterAutospacing="0" w:line="520" w:lineRule="exact"/>
        <w:ind w:left="5118" w:leftChars="304" w:right="-92" w:rightChars="-44" w:hanging="4480" w:hangingChars="16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201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9</w:t>
      </w:r>
      <w:r>
        <w:rPr>
          <w:rFonts w:ascii="仿宋_GB2312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仿宋_GB2312" w:hAnsi="Times New Roman" w:eastAsia="仿宋_GB2312" w:cs="仿宋_GB2312"/>
          <w:sz w:val="28"/>
          <w:szCs w:val="28"/>
        </w:rPr>
        <w:t>月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/>
        </w:rPr>
        <w:t>18</w:t>
      </w:r>
      <w:r>
        <w:rPr>
          <w:rFonts w:ascii="仿宋_GB2312" w:hAnsi="Times New Roman" w:eastAsia="仿宋_GB2312" w:cs="仿宋_GB2312"/>
          <w:sz w:val="28"/>
          <w:szCs w:val="28"/>
        </w:rPr>
        <w:t>日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9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customStyle="1" w:styleId="5">
    <w:name w:val="ptextindent2"/>
    <w:basedOn w:val="1"/>
    <w:qFormat/>
    <w:uiPriority w:val="0"/>
    <w:pPr>
      <w:ind w:firstLine="420"/>
      <w:jc w:val="left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2019-07-03T07:04:24Z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