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0B3D6">
      <w:pPr>
        <w:widowControl/>
        <w:ind w:right="210"/>
        <w:jc w:val="both"/>
        <w:rPr>
          <w:rFonts w:hint="eastAsia" w:ascii="仿宋" w:hAnsi="仿宋" w:eastAsia="仿宋"/>
          <w:sz w:val="24"/>
          <w:szCs w:val="24"/>
          <w:shd w:val="clear" w:color="auto" w:fill="FFFFFF"/>
          <w:lang w:val="en-US" w:eastAsia="zh-CN"/>
        </w:rPr>
      </w:pPr>
      <w:r>
        <w:rPr>
          <w:rFonts w:hint="eastAsia" w:ascii="仿宋" w:hAnsi="仿宋" w:eastAsia="仿宋"/>
          <w:sz w:val="24"/>
          <w:szCs w:val="24"/>
          <w:shd w:val="clear" w:color="auto" w:fill="FFFFFF"/>
          <w:lang w:val="en-US" w:eastAsia="zh-CN"/>
        </w:rPr>
        <w:t>附件3：</w:t>
      </w:r>
    </w:p>
    <w:p w14:paraId="66234106">
      <w:pPr>
        <w:widowControl/>
        <w:ind w:right="210"/>
        <w:jc w:val="left"/>
        <w:rPr>
          <w:rFonts w:hint="default" w:ascii="仿宋" w:hAnsi="仿宋" w:eastAsia="仿宋"/>
          <w:b/>
          <w:bCs/>
          <w:sz w:val="30"/>
          <w:szCs w:val="30"/>
          <w:shd w:val="clear" w:color="auto" w:fill="FFFFFF"/>
          <w:lang w:val="en-US" w:eastAsia="zh-CN"/>
        </w:rPr>
      </w:pPr>
      <w:r>
        <w:rPr>
          <w:rFonts w:hint="eastAsia" w:ascii="仿宋" w:hAnsi="仿宋" w:eastAsia="仿宋"/>
          <w:b/>
          <w:bCs/>
          <w:sz w:val="30"/>
          <w:szCs w:val="30"/>
          <w:shd w:val="clear" w:color="auto" w:fill="FFFFFF"/>
          <w:lang w:val="en-US" w:eastAsia="zh-CN"/>
        </w:rPr>
        <w:t>单位名称：</w:t>
      </w:r>
    </w:p>
    <w:p w14:paraId="08901C54">
      <w:pPr>
        <w:pStyle w:val="2"/>
        <w:spacing w:before="242" w:line="224" w:lineRule="auto"/>
        <w:ind w:left="1098"/>
        <w:jc w:val="center"/>
        <w:outlineLvl w:val="0"/>
        <w:rPr>
          <w:rFonts w:hint="default" w:ascii="仿宋" w:hAnsi="仿宋" w:eastAsia="仿宋"/>
          <w:sz w:val="24"/>
          <w:szCs w:val="24"/>
          <w:shd w:val="clear" w:color="auto" w:fill="FFFFFF"/>
          <w:lang w:val="en-US" w:eastAsia="zh-CN"/>
        </w:rPr>
      </w:pPr>
      <w:r>
        <w:rPr>
          <w:b/>
          <w:bCs/>
          <w:spacing w:val="7"/>
          <w:sz w:val="31"/>
          <w:szCs w:val="31"/>
        </w:rPr>
        <w:t>江西中医药大学附属医院</w:t>
      </w:r>
      <w:r>
        <w:rPr>
          <w:rFonts w:hint="eastAsia"/>
          <w:b/>
          <w:bCs/>
          <w:spacing w:val="7"/>
          <w:sz w:val="31"/>
          <w:szCs w:val="31"/>
          <w:lang w:val="en-US" w:eastAsia="zh-CN"/>
        </w:rPr>
        <w:t>西湖</w:t>
      </w:r>
      <w:r>
        <w:rPr>
          <w:b/>
          <w:bCs/>
          <w:spacing w:val="7"/>
          <w:sz w:val="31"/>
          <w:szCs w:val="31"/>
        </w:rPr>
        <w:t>院区污水处理站运维项目</w:t>
      </w:r>
      <w:r>
        <w:rPr>
          <w:rFonts w:hint="eastAsia" w:ascii="仿宋" w:hAnsi="仿宋" w:eastAsia="仿宋"/>
          <w:b/>
          <w:bCs/>
          <w:sz w:val="32"/>
          <w:szCs w:val="32"/>
          <w:shd w:val="clear" w:color="auto" w:fill="FFFFFF"/>
          <w:lang w:val="en-US" w:eastAsia="zh-CN"/>
        </w:rPr>
        <w:t>报价单</w:t>
      </w:r>
    </w:p>
    <w:tbl>
      <w:tblPr>
        <w:tblStyle w:val="9"/>
        <w:tblpPr w:leftFromText="180" w:rightFromText="180" w:vertAnchor="text" w:horzAnchor="page" w:tblpX="1033" w:tblpY="79"/>
        <w:tblOverlap w:val="never"/>
        <w:tblW w:w="984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5"/>
        <w:gridCol w:w="1467"/>
        <w:gridCol w:w="6063"/>
        <w:gridCol w:w="1588"/>
      </w:tblGrid>
      <w:tr w14:paraId="07C6EF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725" w:type="dxa"/>
            <w:tcBorders>
              <w:top w:val="single" w:color="000000" w:sz="10" w:space="0"/>
              <w:left w:val="single" w:color="000000" w:sz="10" w:space="0"/>
            </w:tcBorders>
            <w:vAlign w:val="top"/>
          </w:tcPr>
          <w:p w14:paraId="57F00C97">
            <w:pPr>
              <w:pStyle w:val="8"/>
              <w:spacing w:before="76" w:line="221" w:lineRule="auto"/>
              <w:ind w:left="111"/>
            </w:pPr>
            <w:r>
              <w:rPr>
                <w:b/>
                <w:bCs/>
                <w:spacing w:val="-7"/>
              </w:rPr>
              <w:t>序号</w:t>
            </w:r>
          </w:p>
        </w:tc>
        <w:tc>
          <w:tcPr>
            <w:tcW w:w="1467" w:type="dxa"/>
            <w:tcBorders>
              <w:top w:val="single" w:color="000000" w:sz="10" w:space="0"/>
            </w:tcBorders>
            <w:vAlign w:val="top"/>
          </w:tcPr>
          <w:p w14:paraId="0A69C332">
            <w:pPr>
              <w:pStyle w:val="8"/>
              <w:spacing w:before="76" w:line="220" w:lineRule="auto"/>
              <w:ind w:left="262"/>
            </w:pPr>
            <w:r>
              <w:rPr>
                <w:b/>
                <w:bCs/>
                <w:spacing w:val="-8"/>
              </w:rPr>
              <w:t>费用名称</w:t>
            </w:r>
          </w:p>
        </w:tc>
        <w:tc>
          <w:tcPr>
            <w:tcW w:w="6063" w:type="dxa"/>
            <w:tcBorders>
              <w:top w:val="single" w:color="000000" w:sz="10" w:space="0"/>
            </w:tcBorders>
            <w:vAlign w:val="top"/>
          </w:tcPr>
          <w:p w14:paraId="40A41CD7">
            <w:pPr>
              <w:pStyle w:val="8"/>
              <w:spacing w:before="77" w:line="219" w:lineRule="auto"/>
              <w:ind w:left="2826"/>
            </w:pPr>
            <w:r>
              <w:rPr>
                <w:b/>
                <w:bCs/>
                <w:spacing w:val="-22"/>
              </w:rPr>
              <w:t>内容</w:t>
            </w:r>
          </w:p>
        </w:tc>
        <w:tc>
          <w:tcPr>
            <w:tcW w:w="1588" w:type="dxa"/>
            <w:tcBorders>
              <w:top w:val="single" w:color="000000" w:sz="10" w:space="0"/>
              <w:right w:val="single" w:color="000000" w:sz="10" w:space="0"/>
            </w:tcBorders>
            <w:vAlign w:val="top"/>
          </w:tcPr>
          <w:p w14:paraId="747B5007">
            <w:pPr>
              <w:pStyle w:val="8"/>
              <w:spacing w:before="77" w:line="219" w:lineRule="auto"/>
              <w:jc w:val="right"/>
            </w:pPr>
            <w:r>
              <w:rPr>
                <w:b/>
                <w:bCs/>
                <w:spacing w:val="-21"/>
              </w:rPr>
              <w:t>费用（元/年）</w:t>
            </w:r>
          </w:p>
        </w:tc>
      </w:tr>
      <w:tr w14:paraId="658418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725" w:type="dxa"/>
            <w:tcBorders>
              <w:left w:val="single" w:color="000000" w:sz="10" w:space="0"/>
            </w:tcBorders>
            <w:vAlign w:val="top"/>
          </w:tcPr>
          <w:p w14:paraId="4B3BF0A9">
            <w:pPr>
              <w:pStyle w:val="8"/>
              <w:spacing w:before="161" w:line="185" w:lineRule="exact"/>
              <w:ind w:left="239"/>
            </w:pPr>
            <w:r>
              <w:rPr>
                <w:b/>
                <w:bCs/>
                <w:spacing w:val="-3"/>
                <w:position w:val="-5"/>
              </w:rPr>
              <w:t>一</w:t>
            </w:r>
          </w:p>
        </w:tc>
        <w:tc>
          <w:tcPr>
            <w:tcW w:w="7530" w:type="dxa"/>
            <w:gridSpan w:val="2"/>
            <w:vAlign w:val="top"/>
          </w:tcPr>
          <w:p w14:paraId="2F06C0B6">
            <w:pPr>
              <w:pStyle w:val="8"/>
              <w:spacing w:before="52" w:line="214" w:lineRule="auto"/>
              <w:ind w:left="2651" w:firstLine="546" w:firstLineChars="200"/>
              <w:rPr>
                <w:sz w:val="28"/>
                <w:szCs w:val="28"/>
              </w:rPr>
            </w:pPr>
            <w:r>
              <w:rPr>
                <w:b/>
                <w:bCs/>
                <w:spacing w:val="-4"/>
                <w:sz w:val="28"/>
                <w:szCs w:val="28"/>
              </w:rPr>
              <w:t>污水处理系统运维</w:t>
            </w:r>
          </w:p>
        </w:tc>
        <w:tc>
          <w:tcPr>
            <w:tcW w:w="1588" w:type="dxa"/>
            <w:tcBorders>
              <w:right w:val="single" w:color="000000" w:sz="10" w:space="0"/>
            </w:tcBorders>
            <w:vAlign w:val="top"/>
          </w:tcPr>
          <w:p w14:paraId="7DBAE03F">
            <w:pPr>
              <w:pStyle w:val="8"/>
              <w:spacing w:before="52" w:line="214" w:lineRule="auto"/>
              <w:ind w:left="646"/>
              <w:rPr>
                <w:sz w:val="28"/>
                <w:szCs w:val="28"/>
              </w:rPr>
            </w:pPr>
          </w:p>
        </w:tc>
      </w:tr>
      <w:tr w14:paraId="2979C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2" w:hRule="atLeast"/>
        </w:trPr>
        <w:tc>
          <w:tcPr>
            <w:tcW w:w="725" w:type="dxa"/>
            <w:tcBorders>
              <w:left w:val="single" w:color="000000" w:sz="10" w:space="0"/>
            </w:tcBorders>
            <w:vAlign w:val="top"/>
          </w:tcPr>
          <w:p w14:paraId="612AA2B6">
            <w:pPr>
              <w:spacing w:line="376" w:lineRule="auto"/>
              <w:rPr>
                <w:rFonts w:ascii="Arial"/>
                <w:sz w:val="21"/>
              </w:rPr>
            </w:pPr>
          </w:p>
          <w:p w14:paraId="65AC0C79">
            <w:pPr>
              <w:pStyle w:val="8"/>
              <w:spacing w:before="78" w:line="241" w:lineRule="auto"/>
              <w:ind w:left="312"/>
            </w:pPr>
            <w:r>
              <w:t>1</w:t>
            </w:r>
          </w:p>
        </w:tc>
        <w:tc>
          <w:tcPr>
            <w:tcW w:w="1467" w:type="dxa"/>
            <w:vAlign w:val="top"/>
          </w:tcPr>
          <w:p w14:paraId="08D9C26E">
            <w:pPr>
              <w:spacing w:line="376" w:lineRule="auto"/>
              <w:rPr>
                <w:rFonts w:ascii="Arial"/>
                <w:sz w:val="21"/>
              </w:rPr>
            </w:pPr>
          </w:p>
          <w:p w14:paraId="47428C80">
            <w:pPr>
              <w:pStyle w:val="8"/>
              <w:spacing w:before="78" w:line="220" w:lineRule="auto"/>
              <w:ind w:left="374"/>
            </w:pPr>
            <w:r>
              <w:rPr>
                <w:spacing w:val="-4"/>
              </w:rPr>
              <w:t>人工费</w:t>
            </w:r>
          </w:p>
        </w:tc>
        <w:tc>
          <w:tcPr>
            <w:tcW w:w="6063" w:type="dxa"/>
            <w:vAlign w:val="top"/>
          </w:tcPr>
          <w:p w14:paraId="434942B2">
            <w:pPr>
              <w:pStyle w:val="8"/>
              <w:spacing w:before="73" w:line="274" w:lineRule="auto"/>
              <w:ind w:left="108" w:right="199" w:hanging="1"/>
              <w:jc w:val="both"/>
              <w:rPr>
                <w:rFonts w:hint="default" w:eastAsia="宋体"/>
                <w:lang w:val="en-US" w:eastAsia="zh-CN"/>
              </w:rPr>
            </w:pPr>
            <w:r>
              <w:rPr>
                <w:spacing w:val="-3"/>
              </w:rPr>
              <w:t>含日常</w:t>
            </w:r>
            <w:r>
              <w:rPr>
                <w:rFonts w:hint="eastAsia"/>
                <w:spacing w:val="-3"/>
                <w:lang w:val="en-US" w:eastAsia="zh-CN"/>
              </w:rPr>
              <w:t>设备</w:t>
            </w:r>
            <w:r>
              <w:rPr>
                <w:spacing w:val="-3"/>
              </w:rPr>
              <w:t>运维操作</w:t>
            </w:r>
            <w:r>
              <w:rPr>
                <w:rFonts w:hint="eastAsia"/>
                <w:spacing w:val="-3"/>
                <w:lang w:eastAsia="zh-CN"/>
              </w:rPr>
              <w:t>、</w:t>
            </w:r>
            <w:r>
              <w:rPr>
                <w:rFonts w:hint="eastAsia"/>
                <w:spacing w:val="-3"/>
                <w:lang w:val="en-US" w:eastAsia="zh-CN"/>
              </w:rPr>
              <w:t>水质检测</w:t>
            </w:r>
            <w:r>
              <w:rPr>
                <w:spacing w:val="-3"/>
              </w:rPr>
              <w:t>人员</w:t>
            </w:r>
            <w:r>
              <w:rPr>
                <w:spacing w:val="-47"/>
              </w:rPr>
              <w:t xml:space="preserve"> </w:t>
            </w:r>
            <w:r>
              <w:rPr>
                <w:rFonts w:hint="eastAsia"/>
                <w:spacing w:val="-3"/>
                <w:lang w:val="en-US" w:eastAsia="zh-CN"/>
              </w:rPr>
              <w:t>1</w:t>
            </w:r>
            <w:r>
              <w:rPr>
                <w:spacing w:val="-48"/>
              </w:rPr>
              <w:t xml:space="preserve"> </w:t>
            </w:r>
            <w:r>
              <w:rPr>
                <w:spacing w:val="-3"/>
              </w:rPr>
              <w:t>名，项目负责人</w:t>
            </w:r>
            <w:r>
              <w:rPr>
                <w:spacing w:val="-33"/>
              </w:rPr>
              <w:t xml:space="preserve"> </w:t>
            </w:r>
            <w:r>
              <w:rPr>
                <w:spacing w:val="-3"/>
              </w:rPr>
              <w:t>1</w:t>
            </w:r>
            <w:r>
              <w:rPr>
                <w:spacing w:val="-48"/>
              </w:rPr>
              <w:t xml:space="preserve"> </w:t>
            </w:r>
            <w:r>
              <w:rPr>
                <w:spacing w:val="-3"/>
              </w:rPr>
              <w:t>名</w:t>
            </w:r>
            <w:r>
              <w:rPr>
                <w:spacing w:val="4"/>
              </w:rPr>
              <w:t>，</w:t>
            </w:r>
            <w:r>
              <w:rPr>
                <w:spacing w:val="-1"/>
              </w:rPr>
              <w:t>机动维修</w:t>
            </w:r>
            <w:r>
              <w:rPr>
                <w:spacing w:val="-3"/>
              </w:rPr>
              <w:t>人员</w:t>
            </w:r>
            <w:r>
              <w:rPr>
                <w:spacing w:val="-16"/>
              </w:rPr>
              <w:t xml:space="preserve"> </w:t>
            </w:r>
            <w:r>
              <w:rPr>
                <w:spacing w:val="-3"/>
              </w:rPr>
              <w:t>1</w:t>
            </w:r>
            <w:r>
              <w:rPr>
                <w:spacing w:val="-48"/>
              </w:rPr>
              <w:t xml:space="preserve"> </w:t>
            </w:r>
            <w:r>
              <w:rPr>
                <w:spacing w:val="-3"/>
              </w:rPr>
              <w:t>名（每周一次固定检查，检查设备运行情况）</w:t>
            </w:r>
            <w:r>
              <w:rPr>
                <w:rFonts w:hint="eastAsia"/>
                <w:spacing w:val="-3"/>
                <w:lang w:eastAsia="zh-CN"/>
              </w:rPr>
              <w:t>，</w:t>
            </w:r>
            <w:r>
              <w:rPr>
                <w:rFonts w:hint="eastAsia"/>
                <w:spacing w:val="-3"/>
                <w:lang w:val="en-US" w:eastAsia="zh-CN"/>
              </w:rPr>
              <w:t>每季度MBR膜的清洗的人工费</w:t>
            </w:r>
          </w:p>
        </w:tc>
        <w:tc>
          <w:tcPr>
            <w:tcW w:w="1588" w:type="dxa"/>
            <w:tcBorders>
              <w:right w:val="single" w:color="000000" w:sz="10" w:space="0"/>
            </w:tcBorders>
            <w:vAlign w:val="top"/>
          </w:tcPr>
          <w:p w14:paraId="6D1DEE96">
            <w:pPr>
              <w:spacing w:line="375" w:lineRule="auto"/>
              <w:rPr>
                <w:rFonts w:ascii="Arial"/>
                <w:sz w:val="21"/>
              </w:rPr>
            </w:pPr>
          </w:p>
          <w:p w14:paraId="054D9A12">
            <w:pPr>
              <w:pStyle w:val="8"/>
              <w:spacing w:before="78"/>
              <w:ind w:left="782"/>
            </w:pPr>
          </w:p>
        </w:tc>
      </w:tr>
      <w:tr w14:paraId="136F3F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2" w:hRule="atLeast"/>
        </w:trPr>
        <w:tc>
          <w:tcPr>
            <w:tcW w:w="725" w:type="dxa"/>
            <w:tcBorders>
              <w:left w:val="single" w:color="000000" w:sz="10" w:space="0"/>
            </w:tcBorders>
            <w:vAlign w:val="top"/>
          </w:tcPr>
          <w:p w14:paraId="63F228EE">
            <w:pPr>
              <w:spacing w:line="378" w:lineRule="auto"/>
              <w:rPr>
                <w:rFonts w:ascii="Arial"/>
                <w:sz w:val="21"/>
              </w:rPr>
            </w:pPr>
          </w:p>
          <w:p w14:paraId="7B6AC31C">
            <w:pPr>
              <w:pStyle w:val="8"/>
              <w:spacing w:before="78" w:line="241" w:lineRule="auto"/>
              <w:ind w:left="298"/>
            </w:pPr>
            <w:r>
              <w:t>2</w:t>
            </w:r>
          </w:p>
        </w:tc>
        <w:tc>
          <w:tcPr>
            <w:tcW w:w="1467" w:type="dxa"/>
            <w:vAlign w:val="top"/>
          </w:tcPr>
          <w:p w14:paraId="32EAFF22">
            <w:pPr>
              <w:spacing w:line="378" w:lineRule="auto"/>
              <w:rPr>
                <w:rFonts w:ascii="Arial"/>
                <w:sz w:val="21"/>
              </w:rPr>
            </w:pPr>
          </w:p>
          <w:p w14:paraId="5FA62207">
            <w:pPr>
              <w:pStyle w:val="8"/>
              <w:spacing w:before="78" w:line="219" w:lineRule="auto"/>
              <w:ind w:left="375"/>
            </w:pPr>
            <w:r>
              <w:rPr>
                <w:spacing w:val="-5"/>
              </w:rPr>
              <w:t>药剂费</w:t>
            </w:r>
          </w:p>
        </w:tc>
        <w:tc>
          <w:tcPr>
            <w:tcW w:w="6063" w:type="dxa"/>
            <w:vAlign w:val="top"/>
          </w:tcPr>
          <w:p w14:paraId="68425211">
            <w:pPr>
              <w:pStyle w:val="8"/>
              <w:spacing w:before="73" w:line="274" w:lineRule="auto"/>
              <w:ind w:left="103" w:right="139" w:firstLine="3"/>
              <w:jc w:val="both"/>
            </w:pPr>
            <w:r>
              <w:rPr>
                <w:spacing w:val="-1"/>
              </w:rPr>
              <w:t>含消毒药剂的采购及投加，投加量符合医疗系统加药标</w:t>
            </w:r>
            <w:r>
              <w:rPr>
                <w:spacing w:val="13"/>
              </w:rPr>
              <w:t xml:space="preserve"> </w:t>
            </w:r>
            <w:r>
              <w:rPr>
                <w:spacing w:val="-1"/>
              </w:rPr>
              <w:t>准并满足余氯排放要求。投产前期水量较少，暂按</w:t>
            </w:r>
            <w:r>
              <w:rPr>
                <w:spacing w:val="-41"/>
              </w:rPr>
              <w:t xml:space="preserve"> </w:t>
            </w:r>
            <w:r>
              <w:rPr>
                <w:spacing w:val="-1"/>
              </w:rPr>
              <w:t>500m</w:t>
            </w:r>
            <w:r>
              <w:t xml:space="preserve"> </w:t>
            </w:r>
            <w:r>
              <w:rPr>
                <w:spacing w:val="-2"/>
              </w:rPr>
              <w:t>³/d</w:t>
            </w:r>
            <w:r>
              <w:rPr>
                <w:spacing w:val="-43"/>
              </w:rPr>
              <w:t xml:space="preserve"> </w:t>
            </w:r>
            <w:r>
              <w:rPr>
                <w:spacing w:val="-2"/>
              </w:rPr>
              <w:t>计算消毒剂投加量。</w:t>
            </w:r>
          </w:p>
        </w:tc>
        <w:tc>
          <w:tcPr>
            <w:tcW w:w="1588" w:type="dxa"/>
            <w:tcBorders>
              <w:right w:val="single" w:color="000000" w:sz="10" w:space="0"/>
            </w:tcBorders>
            <w:vAlign w:val="top"/>
          </w:tcPr>
          <w:p w14:paraId="2A3E5D1D">
            <w:pPr>
              <w:spacing w:line="377" w:lineRule="auto"/>
              <w:rPr>
                <w:rFonts w:ascii="Arial"/>
                <w:sz w:val="21"/>
              </w:rPr>
            </w:pPr>
          </w:p>
          <w:p w14:paraId="79257608">
            <w:pPr>
              <w:pStyle w:val="8"/>
              <w:spacing w:before="78"/>
              <w:ind w:left="782"/>
            </w:pPr>
          </w:p>
        </w:tc>
      </w:tr>
      <w:tr w14:paraId="53B09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1" w:hRule="atLeast"/>
        </w:trPr>
        <w:tc>
          <w:tcPr>
            <w:tcW w:w="725" w:type="dxa"/>
            <w:tcBorders>
              <w:left w:val="single" w:color="000000" w:sz="10" w:space="0"/>
            </w:tcBorders>
            <w:vAlign w:val="top"/>
          </w:tcPr>
          <w:p w14:paraId="1699D80A">
            <w:pPr>
              <w:pStyle w:val="8"/>
              <w:spacing w:before="78"/>
              <w:jc w:val="center"/>
              <w:rPr>
                <w:rFonts w:hint="eastAsia"/>
                <w:lang w:val="en-US" w:eastAsia="zh-CN"/>
              </w:rPr>
            </w:pPr>
          </w:p>
          <w:p w14:paraId="36C0FC6B">
            <w:pPr>
              <w:pStyle w:val="8"/>
              <w:spacing w:before="78"/>
              <w:jc w:val="center"/>
              <w:rPr>
                <w:rFonts w:hint="eastAsia" w:eastAsia="宋体"/>
                <w:lang w:val="en-US" w:eastAsia="zh-CN"/>
              </w:rPr>
            </w:pPr>
            <w:r>
              <w:rPr>
                <w:rFonts w:hint="eastAsia"/>
                <w:lang w:val="en-US" w:eastAsia="zh-CN"/>
              </w:rPr>
              <w:t>3</w:t>
            </w:r>
          </w:p>
        </w:tc>
        <w:tc>
          <w:tcPr>
            <w:tcW w:w="1467" w:type="dxa"/>
            <w:shd w:val="clear" w:color="auto" w:fill="auto"/>
            <w:vAlign w:val="center"/>
          </w:tcPr>
          <w:p w14:paraId="5241F1F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pacing w:val="-1"/>
                <w:kern w:val="2"/>
                <w:sz w:val="24"/>
                <w:szCs w:val="24"/>
                <w:lang w:val="en-US" w:eastAsia="zh-CN" w:bidi="ar-SA"/>
              </w:rPr>
            </w:pPr>
            <w:r>
              <w:rPr>
                <w:rFonts w:hint="eastAsia" w:ascii="宋体" w:hAnsi="宋体" w:eastAsia="宋体" w:cs="宋体"/>
                <w:spacing w:val="-1"/>
                <w:kern w:val="2"/>
                <w:sz w:val="24"/>
                <w:szCs w:val="24"/>
                <w:lang w:val="en-US" w:eastAsia="zh-CN" w:bidi="ar-SA"/>
              </w:rPr>
              <w:t>废气排放设备维修维护</w:t>
            </w:r>
          </w:p>
        </w:tc>
        <w:tc>
          <w:tcPr>
            <w:tcW w:w="6063" w:type="dxa"/>
            <w:shd w:val="clear" w:color="auto" w:fill="auto"/>
            <w:vAlign w:val="center"/>
          </w:tcPr>
          <w:p w14:paraId="15AEA66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textAlignment w:val="baseline"/>
              <w:rPr>
                <w:rFonts w:hint="eastAsia" w:ascii="宋体" w:hAnsi="宋体" w:eastAsia="宋体" w:cs="宋体"/>
                <w:spacing w:val="-1"/>
                <w:kern w:val="2"/>
                <w:sz w:val="24"/>
                <w:szCs w:val="24"/>
                <w:lang w:val="en-US" w:eastAsia="zh-CN" w:bidi="ar-SA"/>
              </w:rPr>
            </w:pPr>
            <w:r>
              <w:rPr>
                <w:rFonts w:hint="eastAsia" w:ascii="宋体" w:hAnsi="宋体" w:eastAsia="宋体" w:cs="宋体"/>
                <w:spacing w:val="-1"/>
                <w:kern w:val="2"/>
                <w:sz w:val="24"/>
                <w:szCs w:val="24"/>
                <w:lang w:val="en-US" w:eastAsia="zh-CN" w:bidi="ar-SA"/>
              </w:rPr>
              <w:t>对3套活性炭吸附设备每年定时补漆，每季度按时更换活性炭，根据设计量，每次不少于1.5吨。为满足环保需求，活性炭碘值不少于1000。供应商每次更换时需提供对应的活性炭碘值吸附报告以及联系方式供医院核查。</w:t>
            </w:r>
          </w:p>
        </w:tc>
        <w:tc>
          <w:tcPr>
            <w:tcW w:w="1588" w:type="dxa"/>
            <w:tcBorders>
              <w:right w:val="single" w:color="000000" w:sz="10" w:space="0"/>
            </w:tcBorders>
            <w:vAlign w:val="top"/>
          </w:tcPr>
          <w:p w14:paraId="0D79EFF0">
            <w:pPr>
              <w:pStyle w:val="8"/>
              <w:spacing w:before="78"/>
              <w:ind w:left="889"/>
            </w:pPr>
          </w:p>
        </w:tc>
      </w:tr>
      <w:tr w14:paraId="2D7A5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7" w:hRule="atLeast"/>
        </w:trPr>
        <w:tc>
          <w:tcPr>
            <w:tcW w:w="725" w:type="dxa"/>
            <w:tcBorders>
              <w:left w:val="single" w:color="000000" w:sz="10" w:space="0"/>
            </w:tcBorders>
            <w:vAlign w:val="top"/>
          </w:tcPr>
          <w:p w14:paraId="2158C775">
            <w:pPr>
              <w:spacing w:line="253" w:lineRule="auto"/>
              <w:jc w:val="left"/>
              <w:rPr>
                <w:rFonts w:ascii="Arial"/>
                <w:sz w:val="21"/>
              </w:rPr>
            </w:pPr>
          </w:p>
          <w:p w14:paraId="15B76E6D">
            <w:pPr>
              <w:spacing w:line="253" w:lineRule="auto"/>
              <w:jc w:val="left"/>
              <w:rPr>
                <w:rFonts w:ascii="Arial"/>
                <w:sz w:val="21"/>
              </w:rPr>
            </w:pPr>
          </w:p>
          <w:p w14:paraId="54702083">
            <w:pPr>
              <w:pStyle w:val="8"/>
              <w:spacing w:before="78"/>
              <w:ind w:firstLine="240" w:firstLineChars="100"/>
              <w:jc w:val="left"/>
              <w:rPr>
                <w:rFonts w:hint="eastAsia" w:eastAsia="宋体"/>
                <w:lang w:eastAsia="zh-CN"/>
              </w:rPr>
            </w:pPr>
            <w:r>
              <w:rPr>
                <w:rFonts w:hint="eastAsia"/>
                <w:lang w:val="en-US" w:eastAsia="zh-CN"/>
              </w:rPr>
              <w:t>4</w:t>
            </w:r>
          </w:p>
        </w:tc>
        <w:tc>
          <w:tcPr>
            <w:tcW w:w="1467" w:type="dxa"/>
            <w:vAlign w:val="top"/>
          </w:tcPr>
          <w:p w14:paraId="4A8A21FC">
            <w:pPr>
              <w:spacing w:line="253" w:lineRule="auto"/>
              <w:jc w:val="center"/>
              <w:rPr>
                <w:rFonts w:ascii="Arial"/>
                <w:sz w:val="21"/>
              </w:rPr>
            </w:pPr>
          </w:p>
          <w:p w14:paraId="4397C9FF">
            <w:pPr>
              <w:pStyle w:val="8"/>
              <w:spacing w:before="78" w:line="220" w:lineRule="auto"/>
              <w:jc w:val="center"/>
            </w:pPr>
            <w:r>
              <w:rPr>
                <w:rFonts w:hint="eastAsia"/>
                <w:spacing w:val="-11"/>
                <w:lang w:val="en-US" w:eastAsia="zh-CN"/>
              </w:rPr>
              <w:t>污水设备</w:t>
            </w:r>
            <w:r>
              <w:rPr>
                <w:spacing w:val="-11"/>
              </w:rPr>
              <w:t>日常维护费</w:t>
            </w:r>
          </w:p>
        </w:tc>
        <w:tc>
          <w:tcPr>
            <w:tcW w:w="6063" w:type="dxa"/>
            <w:vAlign w:val="top"/>
          </w:tcPr>
          <w:p w14:paraId="6B4388C5">
            <w:pPr>
              <w:pStyle w:val="8"/>
              <w:spacing w:before="79" w:line="281" w:lineRule="auto"/>
              <w:ind w:left="105" w:right="199" w:firstLine="4"/>
              <w:jc w:val="left"/>
              <w:rPr>
                <w:rFonts w:hint="default" w:eastAsia="宋体"/>
                <w:lang w:val="en-US" w:eastAsia="zh-CN"/>
              </w:rPr>
            </w:pPr>
            <w:r>
              <w:rPr>
                <w:rFonts w:hint="eastAsia"/>
                <w:b/>
                <w:bCs/>
              </w:rPr>
              <w:t>MBR膜</w:t>
            </w:r>
            <w:r>
              <w:rPr>
                <w:rFonts w:hint="eastAsia"/>
                <w:b/>
                <w:bCs/>
                <w:lang w:val="en-US" w:eastAsia="zh-CN"/>
              </w:rPr>
              <w:t>及其他管件</w:t>
            </w:r>
            <w:r>
              <w:rPr>
                <w:rFonts w:hint="eastAsia"/>
                <w:b/>
                <w:bCs/>
              </w:rPr>
              <w:t>费用作为耗材，含在日常运维费用中，</w:t>
            </w:r>
            <w:r>
              <w:rPr>
                <w:spacing w:val="-1"/>
              </w:rPr>
              <w:t>为保障系统的正常连续运行，需对系统内各设备、仪器</w:t>
            </w:r>
            <w:r>
              <w:rPr>
                <w:spacing w:val="10"/>
              </w:rPr>
              <w:t xml:space="preserve"> </w:t>
            </w:r>
            <w:r>
              <w:rPr>
                <w:spacing w:val="-1"/>
              </w:rPr>
              <w:t>进行定期维护保养，其中包括添加或更换机油、更换易</w:t>
            </w:r>
            <w:r>
              <w:rPr>
                <w:spacing w:val="15"/>
              </w:rPr>
              <w:t xml:space="preserve"> </w:t>
            </w:r>
            <w:r>
              <w:rPr>
                <w:spacing w:val="-1"/>
              </w:rPr>
              <w:t>损易耗件、仪器校准等，</w:t>
            </w:r>
          </w:p>
        </w:tc>
        <w:tc>
          <w:tcPr>
            <w:tcW w:w="1588" w:type="dxa"/>
            <w:tcBorders>
              <w:right w:val="single" w:color="000000" w:sz="10" w:space="0"/>
            </w:tcBorders>
            <w:vAlign w:val="top"/>
          </w:tcPr>
          <w:p w14:paraId="5F2C4FE7">
            <w:pPr>
              <w:spacing w:line="253" w:lineRule="auto"/>
              <w:rPr>
                <w:rFonts w:ascii="Arial"/>
                <w:sz w:val="21"/>
              </w:rPr>
            </w:pPr>
          </w:p>
          <w:p w14:paraId="462647B6">
            <w:pPr>
              <w:spacing w:line="253" w:lineRule="auto"/>
              <w:rPr>
                <w:rFonts w:ascii="Arial"/>
                <w:sz w:val="21"/>
              </w:rPr>
            </w:pPr>
          </w:p>
          <w:p w14:paraId="67F0A3D8">
            <w:pPr>
              <w:spacing w:line="253" w:lineRule="auto"/>
              <w:rPr>
                <w:rFonts w:ascii="Arial"/>
                <w:sz w:val="21"/>
              </w:rPr>
            </w:pPr>
          </w:p>
          <w:p w14:paraId="3B3E850A">
            <w:pPr>
              <w:pStyle w:val="8"/>
              <w:spacing w:before="78"/>
              <w:ind w:left="889"/>
            </w:pPr>
          </w:p>
        </w:tc>
      </w:tr>
      <w:tr w14:paraId="1D227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2" w:hRule="atLeast"/>
        </w:trPr>
        <w:tc>
          <w:tcPr>
            <w:tcW w:w="725" w:type="dxa"/>
            <w:tcBorders>
              <w:left w:val="single" w:color="000000" w:sz="10" w:space="0"/>
            </w:tcBorders>
            <w:vAlign w:val="top"/>
          </w:tcPr>
          <w:p w14:paraId="2C066D23">
            <w:pPr>
              <w:spacing w:line="384" w:lineRule="auto"/>
              <w:jc w:val="left"/>
              <w:rPr>
                <w:rFonts w:ascii="Arial"/>
                <w:sz w:val="21"/>
              </w:rPr>
            </w:pPr>
          </w:p>
          <w:p w14:paraId="4D6B016D">
            <w:pPr>
              <w:pStyle w:val="8"/>
              <w:spacing w:before="78" w:line="241" w:lineRule="auto"/>
              <w:ind w:left="294"/>
              <w:jc w:val="left"/>
              <w:rPr>
                <w:rFonts w:hint="eastAsia" w:eastAsia="宋体"/>
                <w:lang w:eastAsia="zh-CN"/>
              </w:rPr>
            </w:pPr>
            <w:r>
              <w:rPr>
                <w:rFonts w:hint="eastAsia"/>
                <w:lang w:val="en-US" w:eastAsia="zh-CN"/>
              </w:rPr>
              <w:t>5</w:t>
            </w:r>
          </w:p>
        </w:tc>
        <w:tc>
          <w:tcPr>
            <w:tcW w:w="1467" w:type="dxa"/>
            <w:vAlign w:val="top"/>
          </w:tcPr>
          <w:p w14:paraId="217AF4C5">
            <w:pPr>
              <w:pStyle w:val="8"/>
              <w:spacing w:before="273" w:line="219" w:lineRule="auto"/>
              <w:ind w:left="173"/>
              <w:jc w:val="left"/>
            </w:pPr>
            <w:r>
              <w:rPr>
                <w:spacing w:val="-11"/>
              </w:rPr>
              <w:t>日常水质检</w:t>
            </w:r>
          </w:p>
          <w:p w14:paraId="6754CE8C">
            <w:pPr>
              <w:pStyle w:val="8"/>
              <w:spacing w:before="96" w:line="220" w:lineRule="auto"/>
              <w:ind w:left="493"/>
              <w:jc w:val="left"/>
            </w:pPr>
            <w:r>
              <w:rPr>
                <w:spacing w:val="-6"/>
              </w:rPr>
              <w:t>测费</w:t>
            </w:r>
          </w:p>
        </w:tc>
        <w:tc>
          <w:tcPr>
            <w:tcW w:w="6063" w:type="dxa"/>
            <w:vAlign w:val="top"/>
          </w:tcPr>
          <w:p w14:paraId="5639C7EF">
            <w:pPr>
              <w:pStyle w:val="8"/>
              <w:spacing w:before="81" w:line="272" w:lineRule="auto"/>
              <w:ind w:left="107" w:right="199" w:firstLine="2"/>
              <w:jc w:val="left"/>
            </w:pPr>
            <w:r>
              <w:rPr>
                <w:spacing w:val="-1"/>
              </w:rPr>
              <w:t>为了解水质指标情况，需对水质进行分析检测，并根据</w:t>
            </w:r>
            <w:r>
              <w:rPr>
                <w:spacing w:val="10"/>
              </w:rPr>
              <w:t xml:space="preserve"> </w:t>
            </w:r>
            <w:r>
              <w:rPr>
                <w:spacing w:val="-1"/>
              </w:rPr>
              <w:t>检测结果调整加药量及运行参数。含日常 PH 计、余氯</w:t>
            </w:r>
            <w:r>
              <w:rPr>
                <w:spacing w:val="15"/>
              </w:rPr>
              <w:t xml:space="preserve"> </w:t>
            </w:r>
            <w:r>
              <w:rPr>
                <w:spacing w:val="-1"/>
              </w:rPr>
              <w:t>快速检测试剂、COD 快速检测试剂等内容。</w:t>
            </w:r>
          </w:p>
        </w:tc>
        <w:tc>
          <w:tcPr>
            <w:tcW w:w="1588" w:type="dxa"/>
            <w:tcBorders>
              <w:right w:val="single" w:color="000000" w:sz="10" w:space="0"/>
            </w:tcBorders>
            <w:vAlign w:val="top"/>
          </w:tcPr>
          <w:p w14:paraId="696334B9">
            <w:pPr>
              <w:spacing w:line="383" w:lineRule="auto"/>
              <w:rPr>
                <w:rFonts w:ascii="Arial"/>
                <w:sz w:val="21"/>
              </w:rPr>
            </w:pPr>
          </w:p>
          <w:p w14:paraId="3CFEB622">
            <w:pPr>
              <w:pStyle w:val="8"/>
              <w:spacing w:before="78"/>
              <w:ind w:left="889"/>
            </w:pPr>
          </w:p>
        </w:tc>
      </w:tr>
      <w:tr w14:paraId="7AD1D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2192" w:type="dxa"/>
            <w:gridSpan w:val="2"/>
            <w:tcBorders>
              <w:left w:val="single" w:color="000000" w:sz="10" w:space="0"/>
            </w:tcBorders>
            <w:vAlign w:val="top"/>
          </w:tcPr>
          <w:p w14:paraId="4418ABC2">
            <w:pPr>
              <w:pStyle w:val="8"/>
              <w:spacing w:before="96" w:line="220" w:lineRule="auto"/>
              <w:jc w:val="center"/>
              <w:rPr>
                <w:rFonts w:hint="eastAsia" w:eastAsia="宋体"/>
                <w:spacing w:val="-6"/>
                <w:lang w:val="en-US" w:eastAsia="zh-CN"/>
              </w:rPr>
            </w:pPr>
            <w:r>
              <w:rPr>
                <w:rFonts w:ascii="宋体" w:hAnsi="宋体" w:eastAsia="宋体" w:cs="宋体"/>
                <w:spacing w:val="-1"/>
              </w:rPr>
              <w:t>污水处理系统运维</w:t>
            </w:r>
            <w:r>
              <w:rPr>
                <w:rFonts w:hint="eastAsia" w:ascii="宋体" w:hAnsi="宋体" w:eastAsia="宋体" w:cs="宋体"/>
                <w:spacing w:val="-1"/>
                <w:lang w:val="en-US" w:eastAsia="zh-CN"/>
              </w:rPr>
              <w:t>小计</w:t>
            </w:r>
            <w:r>
              <w:rPr>
                <w:rFonts w:hint="eastAsia"/>
                <w:spacing w:val="-6"/>
                <w:lang w:val="en-US" w:eastAsia="zh-CN"/>
              </w:rPr>
              <w:t>：</w:t>
            </w:r>
          </w:p>
        </w:tc>
        <w:tc>
          <w:tcPr>
            <w:tcW w:w="7651" w:type="dxa"/>
            <w:gridSpan w:val="2"/>
            <w:tcBorders>
              <w:right w:val="single" w:color="000000" w:sz="10" w:space="0"/>
            </w:tcBorders>
            <w:vAlign w:val="top"/>
          </w:tcPr>
          <w:p w14:paraId="3A1E9C5A">
            <w:pPr>
              <w:pStyle w:val="8"/>
              <w:spacing w:before="78"/>
              <w:ind w:left="889"/>
            </w:pPr>
          </w:p>
        </w:tc>
      </w:tr>
      <w:tr w14:paraId="400E4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725" w:type="dxa"/>
            <w:tcBorders>
              <w:left w:val="single" w:color="000000" w:sz="10" w:space="0"/>
            </w:tcBorders>
            <w:vAlign w:val="top"/>
          </w:tcPr>
          <w:p w14:paraId="7D226277">
            <w:pPr>
              <w:pStyle w:val="8"/>
              <w:spacing w:before="127" w:line="178" w:lineRule="auto"/>
              <w:ind w:left="239"/>
            </w:pPr>
            <w:r>
              <w:rPr>
                <w:b/>
                <w:bCs/>
                <w:spacing w:val="-3"/>
              </w:rPr>
              <w:t>二</w:t>
            </w:r>
          </w:p>
        </w:tc>
        <w:tc>
          <w:tcPr>
            <w:tcW w:w="7530" w:type="dxa"/>
            <w:gridSpan w:val="2"/>
            <w:vAlign w:val="top"/>
          </w:tcPr>
          <w:p w14:paraId="6D2E6923">
            <w:pPr>
              <w:pStyle w:val="8"/>
              <w:spacing w:before="61" w:line="208" w:lineRule="auto"/>
              <w:ind w:left="2647"/>
              <w:rPr>
                <w:sz w:val="28"/>
                <w:szCs w:val="28"/>
              </w:rPr>
            </w:pPr>
            <w:r>
              <w:rPr>
                <w:b/>
                <w:bCs/>
                <w:spacing w:val="-4"/>
                <w:sz w:val="28"/>
                <w:szCs w:val="28"/>
              </w:rPr>
              <w:t>在线监测系统运维</w:t>
            </w:r>
          </w:p>
        </w:tc>
        <w:tc>
          <w:tcPr>
            <w:tcW w:w="1588" w:type="dxa"/>
            <w:tcBorders>
              <w:right w:val="single" w:color="000000" w:sz="10" w:space="0"/>
            </w:tcBorders>
            <w:vAlign w:val="top"/>
          </w:tcPr>
          <w:p w14:paraId="138DC65B">
            <w:pPr>
              <w:pStyle w:val="8"/>
              <w:spacing w:before="61" w:line="208" w:lineRule="auto"/>
              <w:ind w:left="784"/>
              <w:rPr>
                <w:sz w:val="28"/>
                <w:szCs w:val="28"/>
              </w:rPr>
            </w:pPr>
          </w:p>
        </w:tc>
      </w:tr>
      <w:tr w14:paraId="79541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3" w:hRule="atLeast"/>
        </w:trPr>
        <w:tc>
          <w:tcPr>
            <w:tcW w:w="725" w:type="dxa"/>
            <w:tcBorders>
              <w:left w:val="single" w:color="000000" w:sz="10" w:space="0"/>
            </w:tcBorders>
            <w:vAlign w:val="top"/>
          </w:tcPr>
          <w:p w14:paraId="2D1E85C2">
            <w:pPr>
              <w:spacing w:line="267" w:lineRule="auto"/>
              <w:rPr>
                <w:rFonts w:ascii="Arial"/>
                <w:sz w:val="21"/>
              </w:rPr>
            </w:pPr>
          </w:p>
          <w:p w14:paraId="6E9994E3">
            <w:pPr>
              <w:spacing w:line="267" w:lineRule="auto"/>
              <w:rPr>
                <w:rFonts w:ascii="Arial"/>
                <w:sz w:val="21"/>
              </w:rPr>
            </w:pPr>
          </w:p>
          <w:p w14:paraId="0E46B565">
            <w:pPr>
              <w:spacing w:line="267" w:lineRule="auto"/>
              <w:rPr>
                <w:rFonts w:ascii="Arial"/>
                <w:sz w:val="21"/>
              </w:rPr>
            </w:pPr>
          </w:p>
          <w:p w14:paraId="1C7E8C5C">
            <w:pPr>
              <w:spacing w:line="268" w:lineRule="auto"/>
              <w:rPr>
                <w:rFonts w:ascii="Arial"/>
                <w:sz w:val="21"/>
              </w:rPr>
            </w:pPr>
          </w:p>
          <w:p w14:paraId="2CC9C535">
            <w:pPr>
              <w:spacing w:line="268" w:lineRule="auto"/>
              <w:rPr>
                <w:rFonts w:ascii="Arial"/>
                <w:sz w:val="21"/>
              </w:rPr>
            </w:pPr>
          </w:p>
          <w:p w14:paraId="53A27FF9">
            <w:pPr>
              <w:pStyle w:val="8"/>
              <w:spacing w:before="78" w:line="241" w:lineRule="auto"/>
              <w:ind w:left="312"/>
            </w:pPr>
            <w:r>
              <w:t>1</w:t>
            </w:r>
          </w:p>
        </w:tc>
        <w:tc>
          <w:tcPr>
            <w:tcW w:w="1467" w:type="dxa"/>
            <w:vAlign w:val="top"/>
          </w:tcPr>
          <w:p w14:paraId="1BCC2659">
            <w:pPr>
              <w:spacing w:line="286" w:lineRule="auto"/>
              <w:rPr>
                <w:rFonts w:ascii="Arial"/>
                <w:sz w:val="21"/>
              </w:rPr>
            </w:pPr>
          </w:p>
          <w:p w14:paraId="35C7338B">
            <w:pPr>
              <w:spacing w:line="286" w:lineRule="auto"/>
              <w:rPr>
                <w:rFonts w:ascii="Arial"/>
                <w:sz w:val="21"/>
              </w:rPr>
            </w:pPr>
          </w:p>
          <w:p w14:paraId="414F5948">
            <w:pPr>
              <w:spacing w:line="287" w:lineRule="auto"/>
              <w:rPr>
                <w:rFonts w:ascii="Arial"/>
                <w:sz w:val="21"/>
              </w:rPr>
            </w:pPr>
          </w:p>
          <w:p w14:paraId="03601993">
            <w:pPr>
              <w:spacing w:line="287" w:lineRule="auto"/>
              <w:rPr>
                <w:rFonts w:ascii="Arial"/>
                <w:sz w:val="21"/>
              </w:rPr>
            </w:pPr>
          </w:p>
          <w:p w14:paraId="4F1D9F60">
            <w:pPr>
              <w:pStyle w:val="8"/>
              <w:spacing w:before="78" w:line="220" w:lineRule="auto"/>
              <w:ind w:left="131"/>
            </w:pPr>
            <w:r>
              <w:rPr>
                <w:spacing w:val="-2"/>
              </w:rPr>
              <w:t>在线监测设</w:t>
            </w:r>
          </w:p>
          <w:p w14:paraId="046A701C">
            <w:pPr>
              <w:pStyle w:val="8"/>
              <w:spacing w:before="97" w:line="220" w:lineRule="auto"/>
              <w:ind w:left="375"/>
            </w:pPr>
            <w:r>
              <w:rPr>
                <w:spacing w:val="-5"/>
              </w:rPr>
              <w:t>备运维</w:t>
            </w:r>
          </w:p>
        </w:tc>
        <w:tc>
          <w:tcPr>
            <w:tcW w:w="6063" w:type="dxa"/>
            <w:vAlign w:val="top"/>
          </w:tcPr>
          <w:p w14:paraId="51ACDE8D">
            <w:pPr>
              <w:pStyle w:val="8"/>
              <w:spacing w:before="84" w:line="293" w:lineRule="auto"/>
              <w:ind w:left="109" w:right="96" w:hanging="3"/>
            </w:pPr>
            <w:r>
              <w:rPr>
                <w:spacing w:val="-4"/>
              </w:rPr>
              <w:t>在线监测设备有：COD</w:t>
            </w:r>
            <w:r>
              <w:rPr>
                <w:spacing w:val="-43"/>
              </w:rPr>
              <w:t xml:space="preserve"> </w:t>
            </w:r>
            <w:r>
              <w:rPr>
                <w:spacing w:val="-4"/>
              </w:rPr>
              <w:t>在线监测仪、氨氮在线监测仪、在</w:t>
            </w:r>
            <w:r>
              <w:t xml:space="preserve"> </w:t>
            </w:r>
            <w:r>
              <w:rPr>
                <w:spacing w:val="-2"/>
              </w:rPr>
              <w:t>线</w:t>
            </w:r>
            <w:r>
              <w:rPr>
                <w:spacing w:val="-37"/>
              </w:rPr>
              <w:t xml:space="preserve"> </w:t>
            </w:r>
            <w:r>
              <w:rPr>
                <w:spacing w:val="-2"/>
              </w:rPr>
              <w:t>pH</w:t>
            </w:r>
            <w:r>
              <w:rPr>
                <w:spacing w:val="-51"/>
              </w:rPr>
              <w:t xml:space="preserve"> </w:t>
            </w:r>
            <w:r>
              <w:rPr>
                <w:spacing w:val="-2"/>
              </w:rPr>
              <w:t>计、超声波流量计、数采仪。运维内容如下：</w:t>
            </w:r>
          </w:p>
          <w:p w14:paraId="5ABC15E8">
            <w:pPr>
              <w:pStyle w:val="8"/>
              <w:spacing w:before="3" w:line="217" w:lineRule="auto"/>
              <w:ind w:left="106"/>
            </w:pPr>
            <w:r>
              <w:rPr>
                <w:spacing w:val="-2"/>
              </w:rPr>
              <w:t>①在线监测设备的日常维护：1</w:t>
            </w:r>
            <w:r>
              <w:rPr>
                <w:spacing w:val="-34"/>
              </w:rPr>
              <w:t xml:space="preserve"> </w:t>
            </w:r>
            <w:r>
              <w:rPr>
                <w:spacing w:val="-2"/>
              </w:rPr>
              <w:t>次/日；</w:t>
            </w:r>
          </w:p>
          <w:p w14:paraId="345D665B">
            <w:pPr>
              <w:pStyle w:val="8"/>
              <w:spacing w:before="100" w:line="257" w:lineRule="auto"/>
              <w:ind w:left="107" w:right="199" w:hanging="2"/>
            </w:pPr>
            <w:r>
              <w:rPr>
                <w:spacing w:val="-2"/>
              </w:rPr>
              <w:t>②在线监测设备的校准：1</w:t>
            </w:r>
            <w:r>
              <w:rPr>
                <w:spacing w:val="-35"/>
              </w:rPr>
              <w:t xml:space="preserve"> </w:t>
            </w:r>
            <w:r>
              <w:rPr>
                <w:spacing w:val="-2"/>
              </w:rPr>
              <w:t>季/1</w:t>
            </w:r>
            <w:r>
              <w:rPr>
                <w:spacing w:val="-44"/>
              </w:rPr>
              <w:t xml:space="preserve"> </w:t>
            </w:r>
            <w:r>
              <w:rPr>
                <w:spacing w:val="-2"/>
              </w:rPr>
              <w:t>次；</w:t>
            </w:r>
          </w:p>
          <w:p w14:paraId="2FADCC0E">
            <w:pPr>
              <w:pStyle w:val="8"/>
              <w:spacing w:before="98" w:line="256" w:lineRule="auto"/>
              <w:ind w:left="107" w:right="199" w:hanging="2"/>
            </w:pPr>
            <w:r>
              <w:rPr>
                <w:spacing w:val="-2"/>
              </w:rPr>
              <w:t>③在线监测设备的年度计量校定：1</w:t>
            </w:r>
            <w:r>
              <w:rPr>
                <w:spacing w:val="-35"/>
              </w:rPr>
              <w:t xml:space="preserve"> </w:t>
            </w:r>
            <w:r>
              <w:rPr>
                <w:spacing w:val="-2"/>
              </w:rPr>
              <w:t>年/1</w:t>
            </w:r>
            <w:r>
              <w:rPr>
                <w:spacing w:val="-44"/>
              </w:rPr>
              <w:t xml:space="preserve"> </w:t>
            </w:r>
            <w:r>
              <w:rPr>
                <w:spacing w:val="-2"/>
              </w:rPr>
              <w:t>次。邀请有资</w:t>
            </w:r>
            <w:r>
              <w:t xml:space="preserve"> </w:t>
            </w:r>
            <w:r>
              <w:rPr>
                <w:spacing w:val="-1"/>
              </w:rPr>
              <w:t>质的第三方出具合格的计量认证报告；</w:t>
            </w:r>
          </w:p>
          <w:p w14:paraId="39833072">
            <w:pPr>
              <w:pStyle w:val="8"/>
              <w:spacing w:before="100" w:line="217" w:lineRule="auto"/>
              <w:ind w:left="105"/>
            </w:pPr>
            <w:r>
              <w:rPr>
                <w:spacing w:val="-1"/>
              </w:rPr>
              <w:t>④故障分析，部件更换以及检修后校验情况。</w:t>
            </w:r>
          </w:p>
        </w:tc>
        <w:tc>
          <w:tcPr>
            <w:tcW w:w="1588" w:type="dxa"/>
            <w:tcBorders>
              <w:right w:val="single" w:color="000000" w:sz="10" w:space="0"/>
            </w:tcBorders>
            <w:vAlign w:val="top"/>
          </w:tcPr>
          <w:p w14:paraId="0F14706F">
            <w:pPr>
              <w:spacing w:line="267" w:lineRule="auto"/>
              <w:rPr>
                <w:rFonts w:ascii="Arial"/>
                <w:sz w:val="21"/>
              </w:rPr>
            </w:pPr>
          </w:p>
          <w:p w14:paraId="108D05EE">
            <w:pPr>
              <w:spacing w:line="267" w:lineRule="auto"/>
              <w:rPr>
                <w:rFonts w:ascii="Arial"/>
                <w:sz w:val="21"/>
              </w:rPr>
            </w:pPr>
          </w:p>
          <w:p w14:paraId="59C982E4">
            <w:pPr>
              <w:spacing w:line="267" w:lineRule="auto"/>
              <w:rPr>
                <w:rFonts w:ascii="Arial"/>
                <w:sz w:val="21"/>
              </w:rPr>
            </w:pPr>
          </w:p>
          <w:p w14:paraId="645B0666">
            <w:pPr>
              <w:spacing w:line="267" w:lineRule="auto"/>
              <w:rPr>
                <w:rFonts w:ascii="Arial"/>
                <w:sz w:val="21"/>
              </w:rPr>
            </w:pPr>
          </w:p>
          <w:p w14:paraId="04D52F81">
            <w:pPr>
              <w:spacing w:line="268" w:lineRule="auto"/>
              <w:rPr>
                <w:rFonts w:ascii="Arial"/>
                <w:sz w:val="21"/>
              </w:rPr>
            </w:pPr>
          </w:p>
          <w:p w14:paraId="10C93AE5">
            <w:pPr>
              <w:pStyle w:val="8"/>
              <w:spacing w:before="78"/>
              <w:ind w:left="890"/>
            </w:pPr>
          </w:p>
        </w:tc>
      </w:tr>
      <w:tr w14:paraId="1E36B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6" w:hRule="atLeast"/>
        </w:trPr>
        <w:tc>
          <w:tcPr>
            <w:tcW w:w="725" w:type="dxa"/>
            <w:tcBorders>
              <w:left w:val="single" w:color="000000" w:sz="10" w:space="0"/>
            </w:tcBorders>
            <w:vAlign w:val="top"/>
          </w:tcPr>
          <w:p w14:paraId="30FC52FD">
            <w:pPr>
              <w:spacing w:line="257" w:lineRule="auto"/>
              <w:rPr>
                <w:rFonts w:ascii="Arial"/>
                <w:sz w:val="21"/>
              </w:rPr>
            </w:pPr>
          </w:p>
          <w:p w14:paraId="7285DB06">
            <w:pPr>
              <w:spacing w:line="258" w:lineRule="auto"/>
              <w:rPr>
                <w:rFonts w:ascii="Arial"/>
                <w:sz w:val="21"/>
              </w:rPr>
            </w:pPr>
          </w:p>
          <w:p w14:paraId="7B7666DB">
            <w:pPr>
              <w:spacing w:line="258" w:lineRule="auto"/>
              <w:rPr>
                <w:rFonts w:ascii="Arial"/>
                <w:sz w:val="21"/>
              </w:rPr>
            </w:pPr>
          </w:p>
          <w:p w14:paraId="26AA9F89">
            <w:pPr>
              <w:pStyle w:val="8"/>
              <w:spacing w:before="78" w:line="241" w:lineRule="auto"/>
              <w:ind w:left="298"/>
            </w:pPr>
            <w:r>
              <w:t>2</w:t>
            </w:r>
          </w:p>
        </w:tc>
        <w:tc>
          <w:tcPr>
            <w:tcW w:w="1467" w:type="dxa"/>
            <w:vAlign w:val="top"/>
          </w:tcPr>
          <w:p w14:paraId="14769EDD">
            <w:pPr>
              <w:spacing w:line="257" w:lineRule="auto"/>
              <w:rPr>
                <w:rFonts w:ascii="Arial"/>
                <w:sz w:val="21"/>
              </w:rPr>
            </w:pPr>
          </w:p>
          <w:p w14:paraId="66CAE1EC">
            <w:pPr>
              <w:spacing w:line="258" w:lineRule="auto"/>
              <w:rPr>
                <w:rFonts w:ascii="Arial"/>
                <w:sz w:val="21"/>
              </w:rPr>
            </w:pPr>
          </w:p>
          <w:p w14:paraId="3CDBF1E7">
            <w:pPr>
              <w:spacing w:line="258" w:lineRule="auto"/>
              <w:rPr>
                <w:rFonts w:ascii="Arial"/>
                <w:sz w:val="21"/>
              </w:rPr>
            </w:pPr>
          </w:p>
          <w:p w14:paraId="403F5849">
            <w:pPr>
              <w:pStyle w:val="8"/>
              <w:spacing w:before="78" w:line="220" w:lineRule="auto"/>
              <w:ind w:left="251"/>
            </w:pPr>
            <w:r>
              <w:rPr>
                <w:spacing w:val="-3"/>
              </w:rPr>
              <w:t>平台维护</w:t>
            </w:r>
          </w:p>
        </w:tc>
        <w:tc>
          <w:tcPr>
            <w:tcW w:w="6063" w:type="dxa"/>
            <w:vAlign w:val="top"/>
          </w:tcPr>
          <w:p w14:paraId="541FDDC7">
            <w:pPr>
              <w:pStyle w:val="8"/>
              <w:spacing w:before="89" w:line="219" w:lineRule="auto"/>
              <w:ind w:left="126"/>
            </w:pPr>
            <w:r>
              <w:rPr>
                <w:spacing w:val="-2"/>
              </w:rPr>
              <w:t>网上数据填报、平台的日常维护管理：1</w:t>
            </w:r>
            <w:r>
              <w:rPr>
                <w:spacing w:val="-45"/>
              </w:rPr>
              <w:t xml:space="preserve"> </w:t>
            </w:r>
            <w:r>
              <w:rPr>
                <w:spacing w:val="-2"/>
              </w:rPr>
              <w:t>次/日。</w:t>
            </w:r>
          </w:p>
          <w:p w14:paraId="0EEFD2EB">
            <w:pPr>
              <w:pStyle w:val="8"/>
              <w:spacing w:before="97" w:line="276" w:lineRule="auto"/>
              <w:ind w:left="105" w:right="199" w:firstLine="1"/>
            </w:pPr>
            <w:r>
              <w:rPr>
                <w:spacing w:val="-1"/>
              </w:rPr>
              <w:t>包括但不限于：省平台、全国排污许可证信息管理平台</w:t>
            </w:r>
            <w:r>
              <w:rPr>
                <w:spacing w:val="13"/>
              </w:rPr>
              <w:t xml:space="preserve"> </w:t>
            </w:r>
            <w:r>
              <w:rPr>
                <w:spacing w:val="-2"/>
              </w:rPr>
              <w:t>的网上信息申报，每天至少需要登录</w:t>
            </w:r>
            <w:r>
              <w:rPr>
                <w:spacing w:val="-33"/>
              </w:rPr>
              <w:t xml:space="preserve"> </w:t>
            </w:r>
            <w:r>
              <w:rPr>
                <w:spacing w:val="-2"/>
              </w:rPr>
              <w:t>1</w:t>
            </w:r>
            <w:r>
              <w:rPr>
                <w:spacing w:val="-44"/>
              </w:rPr>
              <w:t xml:space="preserve"> </w:t>
            </w:r>
            <w:r>
              <w:rPr>
                <w:spacing w:val="-2"/>
              </w:rPr>
              <w:t>次查看</w:t>
            </w:r>
            <w:r>
              <w:rPr>
                <w:spacing w:val="-3"/>
              </w:rPr>
              <w:t>是否有督</w:t>
            </w:r>
            <w:r>
              <w:t xml:space="preserve"> </w:t>
            </w:r>
            <w:r>
              <w:rPr>
                <w:spacing w:val="-1"/>
              </w:rPr>
              <w:t>办单，并在发现督办单第一时间进行处理）、每季度填</w:t>
            </w:r>
            <w:r>
              <w:rPr>
                <w:spacing w:val="15"/>
              </w:rPr>
              <w:t xml:space="preserve"> </w:t>
            </w:r>
            <w:r>
              <w:rPr>
                <w:spacing w:val="-1"/>
              </w:rPr>
              <w:t>报污染物排放量和填报执行报告</w:t>
            </w:r>
          </w:p>
        </w:tc>
        <w:tc>
          <w:tcPr>
            <w:tcW w:w="1588" w:type="dxa"/>
            <w:tcBorders>
              <w:right w:val="single" w:color="000000" w:sz="10" w:space="0"/>
            </w:tcBorders>
            <w:vAlign w:val="top"/>
          </w:tcPr>
          <w:p w14:paraId="07C58206">
            <w:pPr>
              <w:spacing w:line="257" w:lineRule="auto"/>
              <w:rPr>
                <w:rFonts w:ascii="Arial"/>
                <w:sz w:val="21"/>
              </w:rPr>
            </w:pPr>
          </w:p>
          <w:p w14:paraId="73DA8D9D">
            <w:pPr>
              <w:spacing w:line="258" w:lineRule="auto"/>
              <w:rPr>
                <w:rFonts w:ascii="Arial"/>
                <w:sz w:val="21"/>
              </w:rPr>
            </w:pPr>
          </w:p>
          <w:p w14:paraId="6E401CD5">
            <w:pPr>
              <w:spacing w:line="258" w:lineRule="auto"/>
              <w:rPr>
                <w:rFonts w:ascii="Arial"/>
                <w:sz w:val="21"/>
              </w:rPr>
            </w:pPr>
          </w:p>
          <w:p w14:paraId="454BF670">
            <w:pPr>
              <w:pStyle w:val="8"/>
              <w:spacing w:before="78"/>
              <w:ind w:left="887"/>
            </w:pPr>
          </w:p>
        </w:tc>
      </w:tr>
      <w:tr w14:paraId="0FB6C9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trPr>
        <w:tc>
          <w:tcPr>
            <w:tcW w:w="2192" w:type="dxa"/>
            <w:gridSpan w:val="2"/>
            <w:tcBorders>
              <w:left w:val="single" w:color="000000" w:sz="10" w:space="0"/>
            </w:tcBorders>
            <w:vAlign w:val="top"/>
          </w:tcPr>
          <w:p w14:paraId="0EEB3445">
            <w:pPr>
              <w:pStyle w:val="8"/>
              <w:spacing w:before="78" w:line="220" w:lineRule="auto"/>
              <w:jc w:val="center"/>
              <w:rPr>
                <w:rFonts w:hint="eastAsia" w:eastAsia="宋体"/>
                <w:spacing w:val="-3"/>
                <w:lang w:val="en-US" w:eastAsia="zh-CN"/>
              </w:rPr>
            </w:pPr>
            <w:r>
              <w:rPr>
                <w:rFonts w:ascii="宋体" w:hAnsi="宋体" w:eastAsia="宋体" w:cs="宋体"/>
                <w:spacing w:val="-2"/>
              </w:rPr>
              <w:t>在线监测系统运维</w:t>
            </w:r>
            <w:r>
              <w:rPr>
                <w:rFonts w:hint="eastAsia" w:ascii="宋体" w:hAnsi="宋体" w:eastAsia="宋体" w:cs="宋体"/>
                <w:spacing w:val="-2"/>
                <w:lang w:val="en-US" w:eastAsia="zh-CN"/>
              </w:rPr>
              <w:t>小计：</w:t>
            </w:r>
          </w:p>
        </w:tc>
        <w:tc>
          <w:tcPr>
            <w:tcW w:w="7651" w:type="dxa"/>
            <w:gridSpan w:val="2"/>
            <w:tcBorders>
              <w:right w:val="single" w:color="000000" w:sz="10" w:space="0"/>
            </w:tcBorders>
            <w:vAlign w:val="top"/>
          </w:tcPr>
          <w:p w14:paraId="1545EE80">
            <w:pPr>
              <w:pStyle w:val="8"/>
              <w:spacing w:before="78"/>
              <w:ind w:left="887"/>
            </w:pPr>
          </w:p>
        </w:tc>
      </w:tr>
      <w:tr w14:paraId="098A1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725" w:type="dxa"/>
            <w:tcBorders>
              <w:left w:val="single" w:color="000000" w:sz="10" w:space="0"/>
            </w:tcBorders>
            <w:vAlign w:val="top"/>
          </w:tcPr>
          <w:p w14:paraId="07666A51">
            <w:pPr>
              <w:pStyle w:val="8"/>
              <w:spacing w:before="94" w:line="217" w:lineRule="auto"/>
              <w:ind w:left="235"/>
            </w:pPr>
            <w:r>
              <w:rPr>
                <w:b/>
                <w:bCs/>
                <w:spacing w:val="-3"/>
              </w:rPr>
              <w:t>三</w:t>
            </w:r>
          </w:p>
        </w:tc>
        <w:tc>
          <w:tcPr>
            <w:tcW w:w="7530" w:type="dxa"/>
            <w:gridSpan w:val="2"/>
            <w:vAlign w:val="top"/>
          </w:tcPr>
          <w:p w14:paraId="752D88A0">
            <w:pPr>
              <w:pStyle w:val="8"/>
              <w:spacing w:before="73" w:line="200" w:lineRule="auto"/>
              <w:ind w:left="3071"/>
              <w:rPr>
                <w:sz w:val="28"/>
                <w:szCs w:val="28"/>
              </w:rPr>
            </w:pPr>
            <w:r>
              <w:rPr>
                <w:b/>
                <w:bCs/>
                <w:spacing w:val="-5"/>
                <w:sz w:val="28"/>
                <w:szCs w:val="28"/>
              </w:rPr>
              <w:t>运维费合计</w:t>
            </w:r>
          </w:p>
        </w:tc>
        <w:tc>
          <w:tcPr>
            <w:tcW w:w="1588" w:type="dxa"/>
            <w:tcBorders>
              <w:right w:val="single" w:color="000000" w:sz="10" w:space="0"/>
            </w:tcBorders>
            <w:vAlign w:val="top"/>
          </w:tcPr>
          <w:p w14:paraId="297E852E">
            <w:pPr>
              <w:pStyle w:val="8"/>
              <w:spacing w:before="73" w:line="200" w:lineRule="auto"/>
              <w:ind w:left="640"/>
              <w:rPr>
                <w:sz w:val="28"/>
                <w:szCs w:val="28"/>
              </w:rPr>
            </w:pPr>
          </w:p>
        </w:tc>
      </w:tr>
      <w:tr w14:paraId="1D562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7" w:hRule="atLeast"/>
        </w:trPr>
        <w:tc>
          <w:tcPr>
            <w:tcW w:w="9843" w:type="dxa"/>
            <w:gridSpan w:val="4"/>
            <w:tcBorders>
              <w:left w:val="single" w:color="000000" w:sz="10" w:space="0"/>
              <w:bottom w:val="single" w:color="000000" w:sz="10" w:space="0"/>
              <w:right w:val="single" w:color="000000" w:sz="10" w:space="0"/>
            </w:tcBorders>
            <w:vAlign w:val="top"/>
          </w:tcPr>
          <w:p w14:paraId="6BE6DADA">
            <w:pPr>
              <w:bidi w:val="0"/>
              <w:rPr>
                <w:rFonts w:hint="eastAsia"/>
                <w:b/>
                <w:bCs/>
              </w:rPr>
            </w:pPr>
            <w:r>
              <w:t>备注：</w:t>
            </w:r>
            <w:r>
              <w:rPr>
                <w:rFonts w:hint="eastAsia" w:ascii="宋体" w:hAnsi="宋体" w:eastAsia="宋体" w:cs="宋体"/>
                <w:b/>
                <w:bCs/>
                <w:i w:val="0"/>
                <w:iCs w:val="0"/>
                <w:color w:val="auto"/>
                <w:kern w:val="0"/>
                <w:sz w:val="24"/>
                <w:szCs w:val="24"/>
                <w:u w:val="none"/>
                <w:lang w:val="en-US" w:eastAsia="zh-CN" w:bidi="ar"/>
              </w:rPr>
              <w:t>MBR膜费用作为耗材，含在日常运维费用中，与运维费用一起按季支付。供应商需充分考虑MBR膜更换的投资费用及回报周期。</w:t>
            </w:r>
            <w:r>
              <w:rPr>
                <w:rFonts w:hint="eastAsia" w:ascii="宋体" w:hAnsi="宋体" w:eastAsia="宋体" w:cs="宋体"/>
                <w:b/>
                <w:bCs/>
                <w:i w:val="0"/>
                <w:iCs w:val="0"/>
                <w:color w:val="auto"/>
                <w:kern w:val="0"/>
                <w:sz w:val="24"/>
                <w:szCs w:val="24"/>
                <w:u w:val="none"/>
                <w:lang w:val="en-US" w:eastAsia="zh-CN" w:bidi="ar"/>
              </w:rPr>
              <w:t>污水站设备维修或更换（大修）费、污泥外运处置费、生物除臭填料及化验废液外运处置费等均由供应商负责。</w:t>
            </w:r>
            <w:bookmarkStart w:id="0" w:name="_GoBack"/>
            <w:bookmarkEnd w:id="0"/>
          </w:p>
          <w:p w14:paraId="3FE06024">
            <w:pPr>
              <w:pStyle w:val="8"/>
              <w:spacing w:before="131" w:line="279" w:lineRule="auto"/>
              <w:ind w:left="107" w:right="121"/>
            </w:pPr>
          </w:p>
        </w:tc>
      </w:tr>
    </w:tbl>
    <w:p w14:paraId="2C299842">
      <w:pPr>
        <w:widowControl/>
        <w:ind w:right="210"/>
        <w:jc w:val="center"/>
        <w:rPr>
          <w:rFonts w:hint="default" w:ascii="仿宋" w:hAnsi="仿宋" w:eastAsia="仿宋"/>
          <w:sz w:val="24"/>
          <w:szCs w:val="24"/>
          <w:shd w:val="clear" w:color="auto"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3Nzc1Y2VmOWQyOTQ0MmI2YTcyYjkzZTgxOWNjNmYifQ=="/>
  </w:docVars>
  <w:rsids>
    <w:rsidRoot w:val="60444745"/>
    <w:rsid w:val="014521D6"/>
    <w:rsid w:val="15BB1B64"/>
    <w:rsid w:val="1BA01B1B"/>
    <w:rsid w:val="1F3D6EEB"/>
    <w:rsid w:val="22B62DDE"/>
    <w:rsid w:val="2345675A"/>
    <w:rsid w:val="253266BA"/>
    <w:rsid w:val="28725726"/>
    <w:rsid w:val="510A10AB"/>
    <w:rsid w:val="56061FC9"/>
    <w:rsid w:val="56290A5C"/>
    <w:rsid w:val="60444745"/>
    <w:rsid w:val="659B6F14"/>
    <w:rsid w:val="67017E67"/>
    <w:rsid w:val="67652B13"/>
    <w:rsid w:val="720827AB"/>
    <w:rsid w:val="728F6259"/>
    <w:rsid w:val="766D1824"/>
    <w:rsid w:val="786B538E"/>
    <w:rsid w:val="78BD4D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paragraph" w:customStyle="1" w:styleId="8">
    <w:name w:val="Table Text"/>
    <w:basedOn w:val="1"/>
    <w:semiHidden/>
    <w:qFormat/>
    <w:uiPriority w:val="0"/>
    <w:rPr>
      <w:rFonts w:ascii="宋体" w:hAnsi="宋体" w:eastAsia="宋体" w:cs="宋体"/>
      <w:sz w:val="24"/>
      <w:szCs w:val="24"/>
      <w:lang w:val="en-US" w:eastAsia="en-US" w:bidi="ar-SA"/>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870</Words>
  <Characters>896</Characters>
  <Lines>0</Lines>
  <Paragraphs>0</Paragraphs>
  <TotalTime>0</TotalTime>
  <ScaleCrop>false</ScaleCrop>
  <LinksUpToDate>false</LinksUpToDate>
  <CharactersWithSpaces>929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2023-11-14T03:23:00Z</dcterms:created>
  <dc:creator>红亮</dc:creator>
  <cp:lastModifiedBy>程水傍</cp:lastModifiedBy>
  <cp:lastPrinted>2024-11-08T07:34:00Z</cp:lastPrinted>
  <dcterms:modified xsi:type="dcterms:W3CDTF">2026-10-12T09:11:48Z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45568F3EE80049F3816E4ABBA106A3F8_13</vt:lpwstr>
  </property>
  <property fmtid="{D5CDD505-2E9C-101B-9397-08002B2CF9AE}" pid="4" name="KSOTemplateDocerSaveRecord">
    <vt:lpwstr>eyJoZGlkIjoiOTYzNDlhZWM3NmM1Mjg5NWE2MzYyYzkzOGJlMDJlYmEiLCJ1c2VySWQiOiIzNjE3MDA0ODYifQ==</vt:lpwstr>
  </property>
</Properties>
</file>