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F49C5">
      <w:pPr>
        <w:spacing w:line="360" w:lineRule="auto"/>
        <w:jc w:val="left"/>
        <w:rPr>
          <w:rFonts w:hint="eastAsia"/>
          <w:lang w:val="en-US" w:eastAsia="zh-CN"/>
        </w:rPr>
      </w:pPr>
      <w:r>
        <w:rPr>
          <w:rFonts w:hint="eastAsia" w:ascii="仿宋" w:hAnsi="仿宋" w:eastAsia="仿宋"/>
          <w:sz w:val="30"/>
          <w:szCs w:val="30"/>
          <w:shd w:val="clear" w:color="auto" w:fill="FFFFFF"/>
          <w:lang w:val="en-US" w:eastAsia="zh-CN"/>
        </w:rPr>
        <w:t>附件1：</w:t>
      </w:r>
    </w:p>
    <w:p w14:paraId="22DAE5CF">
      <w:pPr>
        <w:widowControl w:val="0"/>
        <w:bidi w:val="0"/>
        <w:spacing w:line="360" w:lineRule="auto"/>
        <w:jc w:val="center"/>
        <w:rPr>
          <w:rFonts w:ascii="仿宋" w:hAnsi="仿宋" w:eastAsia="仿宋" w:cs="Times New Roman"/>
          <w:b/>
          <w:bCs/>
          <w:kern w:val="2"/>
          <w:sz w:val="28"/>
          <w:szCs w:val="28"/>
          <w:shd w:val="clear" w:color="auto" w:fill="FFFFFF"/>
          <w:lang w:bidi="ar-SA"/>
        </w:rPr>
      </w:pPr>
      <w:r>
        <w:rPr>
          <w:rFonts w:ascii="仿宋" w:hAnsi="仿宋" w:eastAsia="仿宋" w:cs="Times New Roman"/>
          <w:b/>
          <w:bCs/>
          <w:kern w:val="2"/>
          <w:sz w:val="28"/>
          <w:szCs w:val="28"/>
          <w:shd w:val="clear" w:color="auto" w:fill="FFFFFF"/>
          <w:lang w:bidi="ar-SA"/>
        </w:rPr>
        <w:t>采购需求清单</w:t>
      </w:r>
    </w:p>
    <w:p w14:paraId="59EDA76B">
      <w:pPr>
        <w:spacing w:line="360" w:lineRule="auto"/>
        <w:ind w:left="0" w:leftChars="0" w:firstLine="0" w:firstLineChars="0"/>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项目概况</w:t>
      </w:r>
      <w:r>
        <w:rPr>
          <w:rFonts w:hint="eastAsia" w:ascii="宋体" w:hAnsi="宋体" w:eastAsia="宋体" w:cs="宋体"/>
          <w:b/>
          <w:bCs/>
          <w:sz w:val="28"/>
          <w:szCs w:val="28"/>
          <w:lang w:eastAsia="zh-CN"/>
        </w:rPr>
        <w:t>：</w:t>
      </w:r>
    </w:p>
    <w:p w14:paraId="0581CF47">
      <w:pPr>
        <w:spacing w:line="360" w:lineRule="auto"/>
        <w:ind w:left="0" w:leftChars="0" w:firstLine="512" w:firstLineChars="183"/>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sz w:val="28"/>
          <w:szCs w:val="28"/>
          <w:highlight w:val="none"/>
          <w:lang w:val="en-US" w:eastAsia="zh-CN"/>
        </w:rPr>
        <w:t>江西中医药大学附属医院定位为集医疗、预防、教学和科研为一体的三级甲等中医</w:t>
      </w:r>
      <w:r>
        <w:rPr>
          <w:rFonts w:hint="eastAsia" w:ascii="宋体" w:hAnsi="宋体" w:eastAsia="宋体" w:cs="宋体"/>
          <w:color w:val="000000" w:themeColor="text1"/>
          <w:sz w:val="28"/>
          <w:szCs w:val="28"/>
          <w:highlight w:val="none"/>
          <w:lang w:val="en-US" w:eastAsia="zh-CN"/>
          <w14:textFill>
            <w14:solidFill>
              <w14:schemeClr w14:val="tx1"/>
            </w14:solidFill>
          </w14:textFill>
        </w:rPr>
        <w:t>医院。江西中医药大学附属医院（东湖院区）编制床位数1200张，目前开放病床数1200张左右，医院运营期间会产生医疗废水，须经有效处理后方可达标排放。污水处理站设计处理能力为两个污水处理站，分别日处理600吨，共计日处理1200吨（具体以现场实际情况为准）。两个污水站主体工艺采用“格栅+调节池+A/O+消毒”。制剂中心废水、食堂废水经隔油池预处理后，与其他废水一同分别通过两个医院污水处理站处理，达到《医疗机构水污染物排放标准》（GB 18466-2005）的表2中预处理标准及当地环保部门要求的标准后，排入青山湖污水处理厂。</w:t>
      </w:r>
    </w:p>
    <w:p w14:paraId="6B7889BF">
      <w:pPr>
        <w:spacing w:line="360" w:lineRule="auto"/>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二、工艺流程：</w:t>
      </w:r>
    </w:p>
    <w:p w14:paraId="37ACE01B">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两个污水站</w:t>
      </w:r>
      <w:r>
        <w:rPr>
          <w:rFonts w:hint="eastAsia" w:ascii="宋体" w:hAnsi="宋体" w:eastAsia="宋体" w:cs="宋体"/>
          <w:sz w:val="28"/>
          <w:szCs w:val="28"/>
        </w:rPr>
        <w:t>污水</w:t>
      </w:r>
      <w:r>
        <w:rPr>
          <w:rFonts w:hint="eastAsia" w:ascii="宋体" w:hAnsi="宋体" w:eastAsia="宋体" w:cs="宋体"/>
          <w:sz w:val="28"/>
          <w:szCs w:val="28"/>
          <w:lang w:val="en-US" w:eastAsia="zh-CN"/>
        </w:rPr>
        <w:t>分别经格栅池，</w:t>
      </w:r>
      <w:r>
        <w:rPr>
          <w:rFonts w:hint="eastAsia" w:ascii="宋体" w:hAnsi="宋体" w:eastAsia="宋体" w:cs="宋体"/>
          <w:sz w:val="28"/>
          <w:szCs w:val="28"/>
        </w:rPr>
        <w:t>进入调节池</w:t>
      </w:r>
      <w:r>
        <w:rPr>
          <w:rFonts w:hint="eastAsia" w:ascii="宋体" w:hAnsi="宋体" w:eastAsia="宋体" w:cs="宋体"/>
          <w:sz w:val="28"/>
          <w:szCs w:val="28"/>
          <w:lang w:val="en-US" w:eastAsia="zh-CN"/>
        </w:rPr>
        <w:t>后</w:t>
      </w:r>
      <w:r>
        <w:rPr>
          <w:rFonts w:hint="eastAsia" w:ascii="宋体" w:hAnsi="宋体" w:eastAsia="宋体" w:cs="宋体"/>
          <w:sz w:val="28"/>
          <w:szCs w:val="28"/>
        </w:rPr>
        <w:t>，由污水提升泵提升至</w:t>
      </w:r>
      <w:r>
        <w:rPr>
          <w:rFonts w:hint="eastAsia" w:ascii="宋体" w:hAnsi="宋体" w:eastAsia="宋体" w:cs="宋体"/>
          <w:sz w:val="28"/>
          <w:szCs w:val="28"/>
          <w:lang w:val="en-US" w:eastAsia="zh-CN"/>
        </w:rPr>
        <w:t>生化系统</w:t>
      </w:r>
      <w:r>
        <w:rPr>
          <w:rFonts w:hint="eastAsia" w:ascii="宋体" w:hAnsi="宋体" w:eastAsia="宋体" w:cs="宋体"/>
          <w:sz w:val="28"/>
          <w:szCs w:val="28"/>
        </w:rPr>
        <w:t>进行处理，</w:t>
      </w:r>
      <w:r>
        <w:rPr>
          <w:rFonts w:hint="eastAsia" w:ascii="宋体" w:hAnsi="宋体" w:eastAsia="宋体" w:cs="宋体"/>
          <w:sz w:val="28"/>
          <w:szCs w:val="28"/>
          <w:lang w:val="en-US" w:eastAsia="zh-CN"/>
        </w:rPr>
        <w:t>后经沉淀池固液分离，沉淀池上清液</w:t>
      </w:r>
      <w:r>
        <w:rPr>
          <w:rFonts w:hint="eastAsia" w:ascii="宋体" w:hAnsi="宋体" w:eastAsia="宋体" w:cs="宋体"/>
          <w:sz w:val="28"/>
          <w:szCs w:val="28"/>
        </w:rPr>
        <w:t>进入消毒池，加次氯酸钠，达</w:t>
      </w:r>
      <w:r>
        <w:rPr>
          <w:rFonts w:hint="eastAsia" w:ascii="宋体" w:hAnsi="宋体" w:eastAsia="宋体" w:cs="宋体"/>
          <w:sz w:val="28"/>
          <w:szCs w:val="28"/>
          <w:lang w:val="en-US" w:eastAsia="zh-CN"/>
        </w:rPr>
        <w:t>到排污许可证</w:t>
      </w:r>
      <w:r>
        <w:rPr>
          <w:rFonts w:hint="eastAsia" w:ascii="宋体" w:hAnsi="宋体" w:eastAsia="宋体" w:cs="宋体"/>
          <w:sz w:val="28"/>
          <w:szCs w:val="28"/>
        </w:rPr>
        <w:t>的排放要求</w:t>
      </w:r>
      <w:r>
        <w:rPr>
          <w:rFonts w:hint="eastAsia" w:ascii="宋体" w:hAnsi="宋体" w:eastAsia="宋体" w:cs="宋体"/>
          <w:sz w:val="28"/>
          <w:szCs w:val="28"/>
          <w:lang w:val="en-US" w:eastAsia="zh-CN"/>
        </w:rPr>
        <w:t>后方可排放</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沉淀池污泥回流至水解酸化池，剩余</w:t>
      </w:r>
      <w:r>
        <w:rPr>
          <w:rFonts w:hint="eastAsia" w:ascii="宋体" w:hAnsi="宋体" w:eastAsia="宋体" w:cs="宋体"/>
          <w:sz w:val="28"/>
          <w:szCs w:val="28"/>
        </w:rPr>
        <w:t>污泥抽吸至污泥池，</w:t>
      </w:r>
      <w:r>
        <w:rPr>
          <w:rFonts w:hint="eastAsia" w:ascii="宋体" w:hAnsi="宋体" w:eastAsia="宋体" w:cs="宋体"/>
          <w:sz w:val="28"/>
          <w:szCs w:val="28"/>
          <w:lang w:val="en-US" w:eastAsia="zh-CN"/>
        </w:rPr>
        <w:t>定期外运抽吸</w:t>
      </w:r>
      <w:r>
        <w:rPr>
          <w:rFonts w:hint="eastAsia" w:ascii="宋体" w:hAnsi="宋体" w:eastAsia="宋体" w:cs="宋体"/>
          <w:sz w:val="28"/>
          <w:szCs w:val="28"/>
        </w:rPr>
        <w:t>处置。</w:t>
      </w:r>
      <w:r>
        <w:rPr>
          <w:rFonts w:hint="eastAsia" w:ascii="宋体" w:hAnsi="宋体" w:eastAsia="宋体" w:cs="宋体"/>
          <w:sz w:val="28"/>
          <w:szCs w:val="28"/>
          <w:lang w:val="en-US" w:eastAsia="zh-CN"/>
        </w:rPr>
        <w:t>污水站臭气经收集后由生物除臭装置处理后排放。</w:t>
      </w:r>
    </w:p>
    <w:p w14:paraId="535BDD7A">
      <w:pPr>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744845" cy="1350010"/>
            <wp:effectExtent l="0" t="0" r="825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744845" cy="1350010"/>
                    </a:xfrm>
                    <a:prstGeom prst="rect">
                      <a:avLst/>
                    </a:prstGeom>
                    <a:noFill/>
                    <a:ln>
                      <a:noFill/>
                    </a:ln>
                  </pic:spPr>
                </pic:pic>
              </a:graphicData>
            </a:graphic>
          </wp:inline>
        </w:drawing>
      </w:r>
    </w:p>
    <w:p w14:paraId="6FC2943D">
      <w:pPr>
        <w:spacing w:line="360" w:lineRule="auto"/>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三、运维内容：</w:t>
      </w:r>
    </w:p>
    <w:tbl>
      <w:tblPr>
        <w:tblStyle w:val="6"/>
        <w:tblW w:w="499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779"/>
        <w:gridCol w:w="2456"/>
        <w:gridCol w:w="3719"/>
        <w:gridCol w:w="779"/>
        <w:gridCol w:w="779"/>
      </w:tblGrid>
      <w:tr w14:paraId="09ADA9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54" w:type="pct"/>
            <w:tcBorders>
              <w:tl2br w:val="nil"/>
              <w:tr2bl w:val="nil"/>
            </w:tcBorders>
            <w:noWrap/>
            <w:vAlign w:val="center"/>
          </w:tcPr>
          <w:p w14:paraId="11AE75E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序号</w:t>
            </w:r>
          </w:p>
        </w:tc>
        <w:tc>
          <w:tcPr>
            <w:tcW w:w="1084" w:type="pct"/>
            <w:tcBorders>
              <w:tl2br w:val="nil"/>
              <w:tr2bl w:val="nil"/>
            </w:tcBorders>
            <w:noWrap/>
            <w:vAlign w:val="center"/>
          </w:tcPr>
          <w:p w14:paraId="3C4DB17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费用名称</w:t>
            </w:r>
          </w:p>
        </w:tc>
        <w:tc>
          <w:tcPr>
            <w:tcW w:w="2796" w:type="pct"/>
            <w:tcBorders>
              <w:tl2br w:val="nil"/>
              <w:tr2bl w:val="nil"/>
            </w:tcBorders>
            <w:noWrap/>
            <w:vAlign w:val="center"/>
          </w:tcPr>
          <w:p w14:paraId="1B5F369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内容</w:t>
            </w:r>
          </w:p>
        </w:tc>
        <w:tc>
          <w:tcPr>
            <w:tcW w:w="408" w:type="pct"/>
            <w:tcBorders>
              <w:tl2br w:val="nil"/>
              <w:tr2bl w:val="nil"/>
            </w:tcBorders>
            <w:noWrap/>
            <w:vAlign w:val="center"/>
          </w:tcPr>
          <w:p w14:paraId="5668297F">
            <w:pPr>
              <w:keepNext w:val="0"/>
              <w:keepLines w:val="0"/>
              <w:pageBreakBefore w:val="0"/>
              <w:widowControl/>
              <w:suppressLineNumbers w:val="0"/>
              <w:kinsoku/>
              <w:wordWrap/>
              <w:overflowPunct/>
              <w:topLinePunct w:val="0"/>
              <w:autoSpaceDE/>
              <w:autoSpaceDN/>
              <w:bidi w:val="0"/>
              <w:snapToGrid/>
              <w:spacing w:line="288" w:lineRule="auto"/>
              <w:ind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数量</w:t>
            </w:r>
          </w:p>
        </w:tc>
        <w:tc>
          <w:tcPr>
            <w:tcW w:w="355" w:type="pct"/>
            <w:tcBorders>
              <w:tl2br w:val="nil"/>
              <w:tr2bl w:val="nil"/>
            </w:tcBorders>
            <w:noWrap/>
            <w:vAlign w:val="center"/>
          </w:tcPr>
          <w:p w14:paraId="3DA7796B">
            <w:pPr>
              <w:keepNext w:val="0"/>
              <w:keepLines w:val="0"/>
              <w:pageBreakBefore w:val="0"/>
              <w:widowControl/>
              <w:suppressLineNumbers w:val="0"/>
              <w:kinsoku/>
              <w:wordWrap/>
              <w:overflowPunct/>
              <w:topLinePunct w:val="0"/>
              <w:autoSpaceDE/>
              <w:autoSpaceDN/>
              <w:bidi w:val="0"/>
              <w:snapToGrid/>
              <w:spacing w:line="288" w:lineRule="auto"/>
              <w:ind w:firstLine="0" w:firstLineChars="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单位</w:t>
            </w:r>
          </w:p>
        </w:tc>
      </w:tr>
      <w:tr w14:paraId="5D4DB5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354" w:type="pct"/>
            <w:tcBorders>
              <w:tl2br w:val="nil"/>
              <w:tr2bl w:val="nil"/>
            </w:tcBorders>
            <w:noWrap/>
            <w:vAlign w:val="center"/>
          </w:tcPr>
          <w:p w14:paraId="0B7B35F8">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一</w:t>
            </w:r>
          </w:p>
        </w:tc>
        <w:tc>
          <w:tcPr>
            <w:tcW w:w="3881" w:type="pct"/>
            <w:gridSpan w:val="2"/>
            <w:tcBorders>
              <w:tl2br w:val="nil"/>
              <w:tr2bl w:val="nil"/>
            </w:tcBorders>
            <w:noWrap/>
            <w:vAlign w:val="center"/>
          </w:tcPr>
          <w:p w14:paraId="2A6B2C0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污水处理系统运维</w:t>
            </w:r>
          </w:p>
        </w:tc>
        <w:tc>
          <w:tcPr>
            <w:tcW w:w="408" w:type="pct"/>
            <w:tcBorders>
              <w:tl2br w:val="nil"/>
              <w:tr2bl w:val="nil"/>
            </w:tcBorders>
            <w:noWrap/>
            <w:vAlign w:val="center"/>
          </w:tcPr>
          <w:p w14:paraId="155B49DD">
            <w:pPr>
              <w:keepNext w:val="0"/>
              <w:keepLines w:val="0"/>
              <w:widowControl/>
              <w:suppressLineNumbers w:val="0"/>
              <w:spacing w:line="240" w:lineRule="auto"/>
              <w:ind w:left="0" w:leftChars="0" w:firstLine="0" w:firstLineChars="0"/>
              <w:jc w:val="right"/>
              <w:textAlignment w:val="center"/>
              <w:rPr>
                <w:rFonts w:hint="eastAsia" w:ascii="宋体" w:hAnsi="宋体" w:eastAsia="宋体" w:cs="宋体"/>
                <w:b/>
                <w:bCs/>
                <w:i w:val="0"/>
                <w:iCs w:val="0"/>
                <w:color w:val="000000"/>
                <w:sz w:val="28"/>
                <w:szCs w:val="28"/>
                <w:u w:val="none"/>
              </w:rPr>
            </w:pPr>
          </w:p>
        </w:tc>
        <w:tc>
          <w:tcPr>
            <w:tcW w:w="355" w:type="pct"/>
            <w:tcBorders>
              <w:tl2br w:val="nil"/>
              <w:tr2bl w:val="nil"/>
            </w:tcBorders>
            <w:noWrap/>
            <w:vAlign w:val="center"/>
          </w:tcPr>
          <w:p w14:paraId="0A96F452">
            <w:pPr>
              <w:keepNext w:val="0"/>
              <w:keepLines w:val="0"/>
              <w:widowControl/>
              <w:suppressLineNumbers w:val="0"/>
              <w:spacing w:line="240" w:lineRule="auto"/>
              <w:ind w:left="0" w:leftChars="0" w:firstLine="0" w:firstLineChars="0"/>
              <w:jc w:val="right"/>
              <w:textAlignment w:val="center"/>
              <w:rPr>
                <w:rFonts w:hint="eastAsia" w:ascii="宋体" w:hAnsi="宋体" w:eastAsia="宋体" w:cs="宋体"/>
                <w:b/>
                <w:bCs/>
                <w:i w:val="0"/>
                <w:iCs w:val="0"/>
                <w:color w:val="000000"/>
                <w:kern w:val="0"/>
                <w:sz w:val="28"/>
                <w:szCs w:val="28"/>
                <w:u w:val="none"/>
                <w:lang w:val="en-US" w:eastAsia="zh-CN" w:bidi="ar"/>
              </w:rPr>
            </w:pPr>
          </w:p>
        </w:tc>
      </w:tr>
      <w:tr w14:paraId="178E70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5" w:hRule="atLeast"/>
        </w:trPr>
        <w:tc>
          <w:tcPr>
            <w:tcW w:w="354" w:type="pct"/>
            <w:tcBorders>
              <w:tl2br w:val="nil"/>
              <w:tr2bl w:val="nil"/>
            </w:tcBorders>
            <w:noWrap/>
            <w:vAlign w:val="center"/>
          </w:tcPr>
          <w:p w14:paraId="7A04601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1084" w:type="pct"/>
            <w:tcBorders>
              <w:tl2br w:val="nil"/>
              <w:tr2bl w:val="nil"/>
            </w:tcBorders>
            <w:noWrap/>
            <w:vAlign w:val="center"/>
          </w:tcPr>
          <w:p w14:paraId="261B58F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人工费</w:t>
            </w:r>
          </w:p>
        </w:tc>
        <w:tc>
          <w:tcPr>
            <w:tcW w:w="2796" w:type="pct"/>
            <w:tcBorders>
              <w:tl2br w:val="nil"/>
              <w:tr2bl w:val="nil"/>
            </w:tcBorders>
            <w:noWrap w:val="0"/>
            <w:vAlign w:val="center"/>
          </w:tcPr>
          <w:p w14:paraId="5EBA30AE">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sz w:val="28"/>
                <w:szCs w:val="28"/>
                <w:u w:val="none"/>
                <w:lang w:val="en-US"/>
              </w:rPr>
            </w:pPr>
            <w:r>
              <w:rPr>
                <w:rFonts w:hint="eastAsia" w:ascii="宋体" w:hAnsi="宋体" w:eastAsia="宋体" w:cs="宋体"/>
                <w:i w:val="0"/>
                <w:iCs w:val="0"/>
                <w:color w:val="000000"/>
                <w:sz w:val="28"/>
                <w:szCs w:val="28"/>
                <w:u w:val="none"/>
                <w:lang w:val="en-US" w:eastAsia="zh-CN"/>
              </w:rPr>
              <w:t>含污水站日常运行维护维修、台账管理、药品配置及投加、迎检等(</w:t>
            </w:r>
            <w:r>
              <w:rPr>
                <w:rFonts w:hint="eastAsia" w:ascii="宋体" w:hAnsi="宋体" w:eastAsia="宋体" w:cs="宋体"/>
                <w:i w:val="0"/>
                <w:iCs w:val="0"/>
                <w:color w:val="C00000"/>
                <w:sz w:val="28"/>
                <w:szCs w:val="28"/>
                <w:u w:val="none"/>
                <w:lang w:val="en-US" w:eastAsia="zh-CN"/>
              </w:rPr>
              <w:t>人员配置：一名项目负责人，至少3名以上技术服务人员，所有人员持证上岗</w:t>
            </w:r>
            <w:r>
              <w:rPr>
                <w:rFonts w:hint="eastAsia" w:ascii="宋体" w:hAnsi="宋体" w:eastAsia="宋体" w:cs="宋体"/>
                <w:i w:val="0"/>
                <w:iCs w:val="0"/>
                <w:color w:val="000000"/>
                <w:sz w:val="28"/>
                <w:szCs w:val="28"/>
                <w:u w:val="none"/>
                <w:lang w:val="en-US" w:eastAsia="zh-CN"/>
              </w:rPr>
              <w:t>)</w:t>
            </w:r>
          </w:p>
        </w:tc>
        <w:tc>
          <w:tcPr>
            <w:tcW w:w="408" w:type="pct"/>
            <w:tcBorders>
              <w:tl2br w:val="nil"/>
              <w:tr2bl w:val="nil"/>
            </w:tcBorders>
            <w:noWrap/>
            <w:vAlign w:val="center"/>
          </w:tcPr>
          <w:p w14:paraId="13EE8A82">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kern w:val="2"/>
                <w:sz w:val="28"/>
                <w:szCs w:val="28"/>
                <w:lang w:val="en-US" w:eastAsia="zh-CN" w:bidi="ar-SA"/>
              </w:rPr>
              <w:t>1</w:t>
            </w:r>
          </w:p>
        </w:tc>
        <w:tc>
          <w:tcPr>
            <w:tcW w:w="355" w:type="pct"/>
            <w:tcBorders>
              <w:tl2br w:val="nil"/>
              <w:tr2bl w:val="nil"/>
            </w:tcBorders>
            <w:noWrap/>
            <w:vAlign w:val="center"/>
          </w:tcPr>
          <w:p w14:paraId="2D26F182">
            <w:pPr>
              <w:spacing w:line="240" w:lineRule="auto"/>
              <w:ind w:firstLine="0" w:firstLineChars="0"/>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000000"/>
                <w:sz w:val="28"/>
                <w:szCs w:val="28"/>
                <w:lang w:val="en-US" w:eastAsia="zh-CN"/>
              </w:rPr>
              <w:t>年</w:t>
            </w:r>
          </w:p>
        </w:tc>
      </w:tr>
      <w:tr w14:paraId="0D8B3D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5" w:hRule="atLeast"/>
        </w:trPr>
        <w:tc>
          <w:tcPr>
            <w:tcW w:w="354" w:type="pct"/>
            <w:tcBorders>
              <w:tl2br w:val="nil"/>
              <w:tr2bl w:val="nil"/>
            </w:tcBorders>
            <w:noWrap/>
            <w:vAlign w:val="center"/>
          </w:tcPr>
          <w:p w14:paraId="5876896A">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1084" w:type="pct"/>
            <w:tcBorders>
              <w:tl2br w:val="nil"/>
              <w:tr2bl w:val="nil"/>
            </w:tcBorders>
            <w:noWrap/>
            <w:vAlign w:val="center"/>
          </w:tcPr>
          <w:p w14:paraId="099DC04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药剂费</w:t>
            </w:r>
          </w:p>
        </w:tc>
        <w:tc>
          <w:tcPr>
            <w:tcW w:w="2796" w:type="pct"/>
            <w:tcBorders>
              <w:tl2br w:val="nil"/>
              <w:tr2bl w:val="nil"/>
            </w:tcBorders>
            <w:noWrap w:val="0"/>
            <w:vAlign w:val="center"/>
          </w:tcPr>
          <w:p w14:paraId="3F0CCE15">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含消毒药剂的采购及投加，根据水质浓度及化验分析合理采购药剂，投加量符合医疗系统加药标准并满足余氯排放要求。</w:t>
            </w:r>
          </w:p>
        </w:tc>
        <w:tc>
          <w:tcPr>
            <w:tcW w:w="408" w:type="pct"/>
            <w:tcBorders>
              <w:tl2br w:val="nil"/>
              <w:tr2bl w:val="nil"/>
            </w:tcBorders>
            <w:noWrap/>
            <w:vAlign w:val="center"/>
          </w:tcPr>
          <w:p w14:paraId="1572967C">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kern w:val="2"/>
                <w:sz w:val="28"/>
                <w:szCs w:val="28"/>
                <w:lang w:val="en-US" w:eastAsia="zh-CN" w:bidi="ar-SA"/>
              </w:rPr>
              <w:t>1</w:t>
            </w:r>
          </w:p>
        </w:tc>
        <w:tc>
          <w:tcPr>
            <w:tcW w:w="355" w:type="pct"/>
            <w:tcBorders>
              <w:tl2br w:val="nil"/>
              <w:tr2bl w:val="nil"/>
            </w:tcBorders>
            <w:noWrap/>
            <w:vAlign w:val="center"/>
          </w:tcPr>
          <w:p w14:paraId="1A4BCFF4">
            <w:pPr>
              <w:spacing w:line="240" w:lineRule="auto"/>
              <w:ind w:firstLine="0" w:firstLineChars="0"/>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000000"/>
                <w:sz w:val="28"/>
                <w:szCs w:val="28"/>
                <w:lang w:val="en-US" w:eastAsia="zh-CN"/>
              </w:rPr>
              <w:t>年</w:t>
            </w:r>
          </w:p>
        </w:tc>
      </w:tr>
      <w:tr w14:paraId="5FFB87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140" w:hRule="atLeast"/>
        </w:trPr>
        <w:tc>
          <w:tcPr>
            <w:tcW w:w="354" w:type="pct"/>
            <w:tcBorders>
              <w:tl2br w:val="nil"/>
              <w:tr2bl w:val="nil"/>
            </w:tcBorders>
            <w:noWrap/>
            <w:vAlign w:val="center"/>
          </w:tcPr>
          <w:p w14:paraId="13C9576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w:t>
            </w:r>
          </w:p>
        </w:tc>
        <w:tc>
          <w:tcPr>
            <w:tcW w:w="1084" w:type="pct"/>
            <w:tcBorders>
              <w:tl2br w:val="nil"/>
              <w:tr2bl w:val="nil"/>
            </w:tcBorders>
            <w:noWrap/>
            <w:vAlign w:val="center"/>
          </w:tcPr>
          <w:p w14:paraId="4793E793">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设备维护保养费</w:t>
            </w:r>
          </w:p>
        </w:tc>
        <w:tc>
          <w:tcPr>
            <w:tcW w:w="2796" w:type="pct"/>
            <w:tcBorders>
              <w:tl2br w:val="nil"/>
              <w:tr2bl w:val="nil"/>
            </w:tcBorders>
            <w:noWrap w:val="0"/>
            <w:vAlign w:val="center"/>
          </w:tcPr>
          <w:p w14:paraId="1D675A35">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为保障系统的正常连续运行，需对污水处理系统、除臭系统内各设备、仪器进行定期维护保养，其中包括添加或更换机油、更换除臭系统填料、更换易损易耗件、仪器校准等。</w:t>
            </w:r>
          </w:p>
        </w:tc>
        <w:tc>
          <w:tcPr>
            <w:tcW w:w="408" w:type="pct"/>
            <w:tcBorders>
              <w:tl2br w:val="nil"/>
              <w:tr2bl w:val="nil"/>
            </w:tcBorders>
            <w:noWrap/>
            <w:vAlign w:val="center"/>
          </w:tcPr>
          <w:p w14:paraId="20179BAC">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kern w:val="2"/>
                <w:sz w:val="28"/>
                <w:szCs w:val="28"/>
                <w:lang w:val="en-US" w:eastAsia="zh-CN" w:bidi="ar-SA"/>
              </w:rPr>
              <w:t>1</w:t>
            </w:r>
          </w:p>
        </w:tc>
        <w:tc>
          <w:tcPr>
            <w:tcW w:w="355" w:type="pct"/>
            <w:tcBorders>
              <w:tl2br w:val="nil"/>
              <w:tr2bl w:val="nil"/>
            </w:tcBorders>
            <w:noWrap/>
            <w:vAlign w:val="center"/>
          </w:tcPr>
          <w:p w14:paraId="75A1B9D1">
            <w:pPr>
              <w:spacing w:line="240" w:lineRule="auto"/>
              <w:ind w:firstLine="0" w:firstLineChars="0"/>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000000"/>
                <w:sz w:val="28"/>
                <w:szCs w:val="28"/>
                <w:lang w:val="en-US" w:eastAsia="zh-CN"/>
              </w:rPr>
              <w:t>年</w:t>
            </w:r>
          </w:p>
        </w:tc>
      </w:tr>
      <w:tr w14:paraId="3B1DFC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5" w:hRule="atLeast"/>
        </w:trPr>
        <w:tc>
          <w:tcPr>
            <w:tcW w:w="354" w:type="pct"/>
            <w:tcBorders>
              <w:tl2br w:val="nil"/>
              <w:tr2bl w:val="nil"/>
            </w:tcBorders>
            <w:noWrap/>
            <w:vAlign w:val="center"/>
          </w:tcPr>
          <w:p w14:paraId="1A9899BD">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4</w:t>
            </w:r>
          </w:p>
        </w:tc>
        <w:tc>
          <w:tcPr>
            <w:tcW w:w="1084" w:type="pct"/>
            <w:tcBorders>
              <w:tl2br w:val="nil"/>
              <w:tr2bl w:val="nil"/>
            </w:tcBorders>
            <w:noWrap/>
            <w:vAlign w:val="center"/>
          </w:tcPr>
          <w:p w14:paraId="479A8FC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日常水质检测费</w:t>
            </w:r>
          </w:p>
        </w:tc>
        <w:tc>
          <w:tcPr>
            <w:tcW w:w="2796" w:type="pct"/>
            <w:tcBorders>
              <w:tl2br w:val="nil"/>
              <w:tr2bl w:val="nil"/>
            </w:tcBorders>
            <w:noWrap w:val="0"/>
            <w:vAlign w:val="center"/>
          </w:tcPr>
          <w:p w14:paraId="79AB7515">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为了解水质指标情况，需对水质进行分析检测，并根据检测结果调整加药量及运行参数。含日常 PH 计、余氯快速检测试剂、COD 快速检测试剂等内容。</w:t>
            </w:r>
          </w:p>
        </w:tc>
        <w:tc>
          <w:tcPr>
            <w:tcW w:w="408" w:type="pct"/>
            <w:tcBorders>
              <w:tl2br w:val="nil"/>
              <w:tr2bl w:val="nil"/>
            </w:tcBorders>
            <w:noWrap/>
            <w:vAlign w:val="center"/>
          </w:tcPr>
          <w:p w14:paraId="74185F25">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kern w:val="2"/>
                <w:sz w:val="28"/>
                <w:szCs w:val="28"/>
                <w:lang w:val="en-US" w:eastAsia="zh-CN" w:bidi="ar-SA"/>
              </w:rPr>
              <w:t>1</w:t>
            </w:r>
          </w:p>
        </w:tc>
        <w:tc>
          <w:tcPr>
            <w:tcW w:w="355" w:type="pct"/>
            <w:tcBorders>
              <w:tl2br w:val="nil"/>
              <w:tr2bl w:val="nil"/>
            </w:tcBorders>
            <w:noWrap/>
            <w:vAlign w:val="center"/>
          </w:tcPr>
          <w:p w14:paraId="687CE568">
            <w:pPr>
              <w:spacing w:line="240" w:lineRule="auto"/>
              <w:ind w:firstLine="0" w:firstLineChars="0"/>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000000"/>
                <w:sz w:val="28"/>
                <w:szCs w:val="28"/>
                <w:lang w:val="en-US" w:eastAsia="zh-CN"/>
              </w:rPr>
              <w:t>年</w:t>
            </w:r>
          </w:p>
        </w:tc>
      </w:tr>
      <w:tr w14:paraId="435666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55" w:hRule="atLeast"/>
        </w:trPr>
        <w:tc>
          <w:tcPr>
            <w:tcW w:w="354" w:type="pct"/>
            <w:tcBorders>
              <w:tl2br w:val="nil"/>
              <w:tr2bl w:val="nil"/>
            </w:tcBorders>
            <w:noWrap/>
            <w:vAlign w:val="center"/>
          </w:tcPr>
          <w:p w14:paraId="3454BADD">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5</w:t>
            </w:r>
          </w:p>
        </w:tc>
        <w:tc>
          <w:tcPr>
            <w:tcW w:w="1084" w:type="pct"/>
            <w:tcBorders>
              <w:tl2br w:val="nil"/>
              <w:tr2bl w:val="nil"/>
            </w:tcBorders>
            <w:noWrap/>
            <w:vAlign w:val="center"/>
          </w:tcPr>
          <w:p w14:paraId="0E3903FF">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iCs w:val="0"/>
                <w:color w:val="C00000"/>
                <w:kern w:val="0"/>
                <w:sz w:val="28"/>
                <w:szCs w:val="28"/>
                <w:u w:val="none"/>
                <w:lang w:val="en-US" w:eastAsia="zh-CN" w:bidi="ar"/>
              </w:rPr>
            </w:pPr>
            <w:r>
              <w:rPr>
                <w:rFonts w:hint="eastAsia" w:ascii="宋体" w:hAnsi="宋体" w:eastAsia="宋体" w:cs="宋体"/>
                <w:i w:val="0"/>
                <w:iCs w:val="0"/>
                <w:color w:val="C00000"/>
                <w:kern w:val="0"/>
                <w:sz w:val="28"/>
                <w:szCs w:val="28"/>
                <w:u w:val="none"/>
                <w:lang w:val="en-US" w:eastAsia="zh-CN" w:bidi="ar"/>
              </w:rPr>
              <w:t>污泥压滤处置费</w:t>
            </w:r>
          </w:p>
        </w:tc>
        <w:tc>
          <w:tcPr>
            <w:tcW w:w="2796" w:type="pct"/>
            <w:tcBorders>
              <w:tl2br w:val="nil"/>
              <w:tr2bl w:val="nil"/>
            </w:tcBorders>
            <w:noWrap w:val="0"/>
            <w:vAlign w:val="center"/>
          </w:tcPr>
          <w:p w14:paraId="6488AFE3">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C00000"/>
                <w:kern w:val="0"/>
                <w:sz w:val="28"/>
                <w:szCs w:val="28"/>
                <w:u w:val="none"/>
                <w:lang w:val="en-US" w:eastAsia="zh-CN" w:bidi="ar"/>
              </w:rPr>
            </w:pPr>
            <w:r>
              <w:rPr>
                <w:rFonts w:hint="eastAsia" w:ascii="宋体" w:hAnsi="宋体" w:eastAsia="宋体" w:cs="宋体"/>
                <w:i w:val="0"/>
                <w:iCs w:val="0"/>
                <w:color w:val="C00000"/>
                <w:kern w:val="0"/>
                <w:sz w:val="28"/>
                <w:szCs w:val="28"/>
                <w:u w:val="none"/>
                <w:lang w:val="en-US" w:eastAsia="zh-CN" w:bidi="ar"/>
              </w:rPr>
              <w:t>按环保部门要求规范处置</w:t>
            </w:r>
          </w:p>
        </w:tc>
        <w:tc>
          <w:tcPr>
            <w:tcW w:w="408" w:type="pct"/>
            <w:tcBorders>
              <w:tl2br w:val="nil"/>
              <w:tr2bl w:val="nil"/>
            </w:tcBorders>
            <w:noWrap/>
            <w:vAlign w:val="center"/>
          </w:tcPr>
          <w:p w14:paraId="622D4AF6">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default" w:ascii="宋体" w:hAnsi="宋体" w:eastAsia="宋体" w:cs="宋体"/>
                <w:color w:val="C00000"/>
                <w:kern w:val="2"/>
                <w:sz w:val="28"/>
                <w:szCs w:val="28"/>
                <w:lang w:val="en-US" w:eastAsia="zh-CN" w:bidi="ar-SA"/>
              </w:rPr>
            </w:pPr>
            <w:r>
              <w:rPr>
                <w:rFonts w:hint="eastAsia" w:ascii="宋体" w:hAnsi="宋体" w:eastAsia="宋体" w:cs="宋体"/>
                <w:color w:val="C00000"/>
                <w:kern w:val="2"/>
                <w:sz w:val="28"/>
                <w:szCs w:val="28"/>
                <w:lang w:val="en-US" w:eastAsia="zh-CN" w:bidi="ar-SA"/>
              </w:rPr>
              <w:t>1</w:t>
            </w:r>
          </w:p>
        </w:tc>
        <w:tc>
          <w:tcPr>
            <w:tcW w:w="355" w:type="pct"/>
            <w:tcBorders>
              <w:tl2br w:val="nil"/>
              <w:tr2bl w:val="nil"/>
            </w:tcBorders>
            <w:noWrap/>
            <w:vAlign w:val="center"/>
          </w:tcPr>
          <w:p w14:paraId="1BEE1678">
            <w:pPr>
              <w:spacing w:line="240" w:lineRule="auto"/>
              <w:ind w:firstLine="0" w:firstLineChars="0"/>
              <w:jc w:val="center"/>
              <w:rPr>
                <w:rFonts w:hint="default" w:ascii="宋体" w:hAnsi="宋体" w:eastAsia="宋体" w:cs="宋体"/>
                <w:color w:val="C00000"/>
                <w:sz w:val="28"/>
                <w:szCs w:val="28"/>
                <w:lang w:val="en-US" w:eastAsia="zh-CN"/>
              </w:rPr>
            </w:pPr>
            <w:r>
              <w:rPr>
                <w:rFonts w:hint="eastAsia" w:ascii="宋体" w:hAnsi="宋体" w:eastAsia="宋体" w:cs="宋体"/>
                <w:color w:val="C00000"/>
                <w:sz w:val="28"/>
                <w:szCs w:val="28"/>
                <w:lang w:val="en-US" w:eastAsia="zh-CN"/>
              </w:rPr>
              <w:t>年</w:t>
            </w:r>
          </w:p>
        </w:tc>
      </w:tr>
      <w:tr w14:paraId="35962D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354" w:type="pct"/>
            <w:tcBorders>
              <w:tl2br w:val="nil"/>
              <w:tr2bl w:val="nil"/>
            </w:tcBorders>
            <w:noWrap/>
            <w:vAlign w:val="center"/>
          </w:tcPr>
          <w:p w14:paraId="022570FF">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二</w:t>
            </w:r>
          </w:p>
        </w:tc>
        <w:tc>
          <w:tcPr>
            <w:tcW w:w="3881" w:type="pct"/>
            <w:gridSpan w:val="2"/>
            <w:tcBorders>
              <w:tl2br w:val="nil"/>
              <w:tr2bl w:val="nil"/>
            </w:tcBorders>
            <w:noWrap/>
            <w:vAlign w:val="center"/>
          </w:tcPr>
          <w:p w14:paraId="29383F5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在线监测系统运维</w:t>
            </w:r>
          </w:p>
        </w:tc>
        <w:tc>
          <w:tcPr>
            <w:tcW w:w="408" w:type="pct"/>
            <w:tcBorders>
              <w:tl2br w:val="nil"/>
              <w:tr2bl w:val="nil"/>
            </w:tcBorders>
            <w:noWrap/>
            <w:vAlign w:val="center"/>
          </w:tcPr>
          <w:p w14:paraId="39B56057">
            <w:pPr>
              <w:keepNext w:val="0"/>
              <w:keepLines w:val="0"/>
              <w:widowControl/>
              <w:suppressLineNumbers w:val="0"/>
              <w:spacing w:line="240" w:lineRule="auto"/>
              <w:ind w:left="0" w:leftChars="0" w:firstLine="0" w:firstLineChars="0"/>
              <w:jc w:val="right"/>
              <w:textAlignment w:val="center"/>
              <w:rPr>
                <w:rFonts w:hint="eastAsia" w:ascii="宋体" w:hAnsi="宋体" w:eastAsia="宋体" w:cs="宋体"/>
                <w:b/>
                <w:bCs/>
                <w:i w:val="0"/>
                <w:iCs w:val="0"/>
                <w:color w:val="000000"/>
                <w:sz w:val="28"/>
                <w:szCs w:val="28"/>
                <w:u w:val="none"/>
              </w:rPr>
            </w:pPr>
          </w:p>
        </w:tc>
        <w:tc>
          <w:tcPr>
            <w:tcW w:w="355" w:type="pct"/>
            <w:tcBorders>
              <w:tl2br w:val="nil"/>
              <w:tr2bl w:val="nil"/>
            </w:tcBorders>
            <w:noWrap/>
            <w:vAlign w:val="center"/>
          </w:tcPr>
          <w:p w14:paraId="0C811EA4">
            <w:pPr>
              <w:keepNext w:val="0"/>
              <w:keepLines w:val="0"/>
              <w:widowControl/>
              <w:suppressLineNumbers w:val="0"/>
              <w:spacing w:line="240" w:lineRule="auto"/>
              <w:ind w:left="0" w:leftChars="0" w:firstLine="0" w:firstLineChars="0"/>
              <w:jc w:val="right"/>
              <w:textAlignment w:val="center"/>
              <w:rPr>
                <w:rFonts w:hint="eastAsia" w:ascii="宋体" w:hAnsi="宋体" w:eastAsia="宋体" w:cs="宋体"/>
                <w:b/>
                <w:bCs/>
                <w:i w:val="0"/>
                <w:iCs w:val="0"/>
                <w:color w:val="000000"/>
                <w:kern w:val="0"/>
                <w:sz w:val="28"/>
                <w:szCs w:val="28"/>
                <w:u w:val="none"/>
                <w:lang w:val="en-US" w:eastAsia="zh-CN" w:bidi="ar"/>
              </w:rPr>
            </w:pPr>
          </w:p>
        </w:tc>
      </w:tr>
      <w:tr w14:paraId="6AC776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280" w:hRule="atLeast"/>
        </w:trPr>
        <w:tc>
          <w:tcPr>
            <w:tcW w:w="354" w:type="pct"/>
            <w:tcBorders>
              <w:tl2br w:val="nil"/>
              <w:tr2bl w:val="nil"/>
            </w:tcBorders>
            <w:noWrap/>
            <w:vAlign w:val="center"/>
          </w:tcPr>
          <w:p w14:paraId="245DD686">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1</w:t>
            </w:r>
          </w:p>
        </w:tc>
        <w:tc>
          <w:tcPr>
            <w:tcW w:w="1084" w:type="pct"/>
            <w:tcBorders>
              <w:tl2br w:val="nil"/>
              <w:tr2bl w:val="nil"/>
            </w:tcBorders>
            <w:noWrap/>
            <w:vAlign w:val="center"/>
          </w:tcPr>
          <w:p w14:paraId="4F3A46E7">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在线监测设备运维</w:t>
            </w:r>
          </w:p>
        </w:tc>
        <w:tc>
          <w:tcPr>
            <w:tcW w:w="2796" w:type="pct"/>
            <w:tcBorders>
              <w:tl2br w:val="nil"/>
              <w:tr2bl w:val="nil"/>
            </w:tcBorders>
            <w:noWrap w:val="0"/>
            <w:vAlign w:val="center"/>
          </w:tcPr>
          <w:p w14:paraId="39224193">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在线监测设备有：COD在线监测仪、BOD在线检测仪、氨氮在线监测仪，在线pH计、超声波流量计、数采仪。运维内容如下：</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①在线监测设备的日常维护：1次/日；</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②在线监测设备的校准：1季/1次（供应商需自备便携式明渠流量计等进行比对）；</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③在线监测设备的年度计量校定：1年/1次。邀请有资质的第三方出具合格的计量认证报告；</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④故障分析，部件更换以及检修后校验情况。</w:t>
            </w:r>
          </w:p>
        </w:tc>
        <w:tc>
          <w:tcPr>
            <w:tcW w:w="408" w:type="pct"/>
            <w:tcBorders>
              <w:tl2br w:val="nil"/>
              <w:tr2bl w:val="nil"/>
            </w:tcBorders>
            <w:noWrap/>
            <w:vAlign w:val="center"/>
          </w:tcPr>
          <w:p w14:paraId="65BA3D9A">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kern w:val="2"/>
                <w:sz w:val="28"/>
                <w:szCs w:val="28"/>
                <w:lang w:val="en-US" w:eastAsia="zh-CN" w:bidi="ar-SA"/>
              </w:rPr>
              <w:t>1</w:t>
            </w:r>
          </w:p>
        </w:tc>
        <w:tc>
          <w:tcPr>
            <w:tcW w:w="355" w:type="pct"/>
            <w:tcBorders>
              <w:tl2br w:val="nil"/>
              <w:tr2bl w:val="nil"/>
            </w:tcBorders>
            <w:noWrap/>
            <w:vAlign w:val="center"/>
          </w:tcPr>
          <w:p w14:paraId="5DC597D6">
            <w:pPr>
              <w:spacing w:line="240" w:lineRule="auto"/>
              <w:ind w:firstLine="0" w:firstLineChars="0"/>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000000"/>
                <w:sz w:val="28"/>
                <w:szCs w:val="28"/>
                <w:lang w:val="en-US" w:eastAsia="zh-CN"/>
              </w:rPr>
              <w:t>年</w:t>
            </w:r>
          </w:p>
        </w:tc>
      </w:tr>
      <w:tr w14:paraId="4958D4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425" w:hRule="atLeast"/>
        </w:trPr>
        <w:tc>
          <w:tcPr>
            <w:tcW w:w="354" w:type="pct"/>
            <w:tcBorders>
              <w:tl2br w:val="nil"/>
              <w:tr2bl w:val="nil"/>
            </w:tcBorders>
            <w:noWrap/>
            <w:vAlign w:val="center"/>
          </w:tcPr>
          <w:p w14:paraId="1640F082">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2</w:t>
            </w:r>
          </w:p>
        </w:tc>
        <w:tc>
          <w:tcPr>
            <w:tcW w:w="1084" w:type="pct"/>
            <w:tcBorders>
              <w:tl2br w:val="nil"/>
              <w:tr2bl w:val="nil"/>
            </w:tcBorders>
            <w:noWrap/>
            <w:vAlign w:val="center"/>
          </w:tcPr>
          <w:p w14:paraId="0BF4BCF5">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平台维护</w:t>
            </w:r>
          </w:p>
        </w:tc>
        <w:tc>
          <w:tcPr>
            <w:tcW w:w="2796" w:type="pct"/>
            <w:tcBorders>
              <w:tl2br w:val="nil"/>
              <w:tr2bl w:val="nil"/>
            </w:tcBorders>
            <w:noWrap w:val="0"/>
            <w:vAlign w:val="center"/>
          </w:tcPr>
          <w:p w14:paraId="072221B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网上数据填报、平台的日常维护管理：1次/日。</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包括但不限于：省平台、全国排污许可证信息管理平台的网上信息申报（每天至少需要登录1次查看是否有督办单，并在发现督办单第一时间进行处理）、每季度填报污染物排放量和填报执行报告</w:t>
            </w:r>
          </w:p>
        </w:tc>
        <w:tc>
          <w:tcPr>
            <w:tcW w:w="408" w:type="pct"/>
            <w:tcBorders>
              <w:tl2br w:val="nil"/>
              <w:tr2bl w:val="nil"/>
            </w:tcBorders>
            <w:noWrap/>
            <w:vAlign w:val="center"/>
          </w:tcPr>
          <w:p w14:paraId="2B8909CD">
            <w:pPr>
              <w:keepNext w:val="0"/>
              <w:keepLines w:val="0"/>
              <w:pageBreakBefore w:val="0"/>
              <w:widowControl/>
              <w:suppressLineNumbers w:val="0"/>
              <w:kinsoku/>
              <w:wordWrap/>
              <w:overflowPunct/>
              <w:topLinePunct w:val="0"/>
              <w:autoSpaceDE/>
              <w:autoSpaceDN/>
              <w:bidi w:val="0"/>
              <w:adjustRightInd w:val="0"/>
              <w:snapToGrid/>
              <w:spacing w:line="240" w:lineRule="auto"/>
              <w:ind w:firstLine="0" w:firstLineChars="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kern w:val="2"/>
                <w:sz w:val="28"/>
                <w:szCs w:val="28"/>
                <w:lang w:val="en-US" w:eastAsia="zh-CN" w:bidi="ar-SA"/>
              </w:rPr>
              <w:t>1</w:t>
            </w:r>
          </w:p>
        </w:tc>
        <w:tc>
          <w:tcPr>
            <w:tcW w:w="355" w:type="pct"/>
            <w:tcBorders>
              <w:tl2br w:val="nil"/>
              <w:tr2bl w:val="nil"/>
            </w:tcBorders>
            <w:noWrap/>
            <w:vAlign w:val="center"/>
          </w:tcPr>
          <w:p w14:paraId="23F53C6E">
            <w:pPr>
              <w:spacing w:line="240" w:lineRule="auto"/>
              <w:ind w:firstLine="0" w:firstLineChars="0"/>
              <w:jc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color w:val="000000"/>
                <w:sz w:val="28"/>
                <w:szCs w:val="28"/>
                <w:lang w:val="en-US" w:eastAsia="zh-CN"/>
              </w:rPr>
              <w:t>年</w:t>
            </w:r>
          </w:p>
        </w:tc>
      </w:tr>
      <w:tr w14:paraId="4C11D5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5000" w:type="pct"/>
            <w:gridSpan w:val="5"/>
            <w:tcBorders>
              <w:tl2br w:val="nil"/>
              <w:tr2bl w:val="nil"/>
            </w:tcBorders>
            <w:noWrap w:val="0"/>
            <w:vAlign w:val="center"/>
          </w:tcPr>
          <w:p w14:paraId="69047564">
            <w:pPr>
              <w:keepNext w:val="0"/>
              <w:keepLines w:val="0"/>
              <w:widowControl/>
              <w:suppressLineNumbers w:val="0"/>
              <w:spacing w:line="240" w:lineRule="auto"/>
              <w:ind w:left="0" w:leftChars="0" w:firstLine="0" w:firstLineChars="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auto"/>
                <w:kern w:val="0"/>
                <w:sz w:val="28"/>
                <w:szCs w:val="28"/>
                <w:u w:val="none"/>
                <w:lang w:val="en-US" w:eastAsia="zh-CN" w:bidi="ar"/>
              </w:rPr>
              <w:t>备注：污水站水费、电费、设备更换（大修）费、污泥外运处置费、在线设备废液外运处置费由院方负责。</w:t>
            </w:r>
            <w:r>
              <w:rPr>
                <w:rFonts w:hint="eastAsia" w:ascii="宋体" w:hAnsi="宋体" w:eastAsia="宋体" w:cs="宋体"/>
                <w:i w:val="0"/>
                <w:iCs w:val="0"/>
                <w:color w:val="C00000"/>
                <w:kern w:val="0"/>
                <w:sz w:val="28"/>
                <w:szCs w:val="28"/>
                <w:u w:val="none"/>
                <w:lang w:val="en-US" w:eastAsia="zh-CN" w:bidi="ar"/>
              </w:rPr>
              <w:t>在运维期间，污水站污水处理量发生变化或污水排放标准调整，外包服务费不变</w:t>
            </w:r>
            <w:r>
              <w:rPr>
                <w:rFonts w:hint="eastAsia" w:ascii="宋体" w:hAnsi="宋体" w:eastAsia="宋体" w:cs="宋体"/>
                <w:i w:val="0"/>
                <w:iCs w:val="0"/>
                <w:color w:val="auto"/>
                <w:kern w:val="0"/>
                <w:sz w:val="28"/>
                <w:szCs w:val="28"/>
                <w:u w:val="none"/>
                <w:lang w:val="en-US" w:eastAsia="zh-CN" w:bidi="ar"/>
              </w:rPr>
              <w:t>。</w:t>
            </w:r>
          </w:p>
        </w:tc>
      </w:tr>
    </w:tbl>
    <w:p w14:paraId="47D50548">
      <w:pPr>
        <w:spacing w:line="360" w:lineRule="auto"/>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四、运维管理要求：</w:t>
      </w:r>
    </w:p>
    <w:p w14:paraId="53F22194">
      <w:pPr>
        <w:spacing w:line="440" w:lineRule="exact"/>
        <w:ind w:left="529" w:leftChars="197" w:hanging="115" w:hangingChars="41"/>
        <w:rPr>
          <w:rFonts w:hint="eastAsia"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eastAsia="zh-CN"/>
        </w:rPr>
        <w:t>）</w:t>
      </w:r>
      <w:r>
        <w:rPr>
          <w:rFonts w:hint="eastAsia" w:ascii="宋体" w:hAnsi="宋体" w:eastAsia="宋体" w:cs="宋体"/>
          <w:b/>
          <w:bCs/>
          <w:sz w:val="28"/>
          <w:szCs w:val="28"/>
        </w:rPr>
        <w:t>总体技术要求：</w:t>
      </w:r>
    </w:p>
    <w:p w14:paraId="1BCE55C3">
      <w:pPr>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污水处理站主要处理院内医疗废水、生活污水，</w:t>
      </w:r>
      <w:r>
        <w:rPr>
          <w:rFonts w:hint="eastAsia" w:ascii="宋体" w:hAnsi="宋体" w:eastAsia="宋体" w:cs="宋体"/>
          <w:sz w:val="28"/>
          <w:szCs w:val="28"/>
          <w:lang w:val="en-US" w:eastAsia="zh-CN"/>
        </w:rPr>
        <w:t>设计日处理量</w:t>
      </w:r>
      <w:r>
        <w:rPr>
          <w:rFonts w:hint="eastAsia" w:ascii="宋体" w:hAnsi="宋体" w:eastAsia="宋体" w:cs="宋体"/>
          <w:sz w:val="28"/>
          <w:szCs w:val="28"/>
        </w:rPr>
        <w:t>为</w:t>
      </w:r>
      <w:r>
        <w:rPr>
          <w:rFonts w:hint="eastAsia" w:ascii="宋体" w:hAnsi="宋体" w:eastAsia="宋体" w:cs="宋体"/>
          <w:sz w:val="28"/>
          <w:szCs w:val="28"/>
          <w:lang w:val="en-US" w:eastAsia="zh-CN"/>
        </w:rPr>
        <w:t>600+600</w:t>
      </w:r>
      <w:r>
        <w:rPr>
          <w:rFonts w:hint="eastAsia" w:ascii="宋体" w:hAnsi="宋体" w:eastAsia="宋体" w:cs="宋体"/>
          <w:sz w:val="28"/>
          <w:szCs w:val="28"/>
        </w:rPr>
        <w:t>m</w:t>
      </w:r>
      <w:r>
        <w:rPr>
          <w:rFonts w:hint="eastAsia" w:ascii="宋体" w:hAnsi="宋体" w:eastAsia="宋体" w:cs="宋体"/>
          <w:sz w:val="28"/>
          <w:szCs w:val="28"/>
          <w:vertAlign w:val="superscript"/>
        </w:rPr>
        <w:t>3</w:t>
      </w:r>
      <w:r>
        <w:rPr>
          <w:rFonts w:hint="eastAsia" w:ascii="宋体" w:hAnsi="宋体" w:eastAsia="宋体" w:cs="宋体"/>
          <w:sz w:val="28"/>
          <w:szCs w:val="28"/>
          <w:vertAlign w:val="baseline"/>
          <w:lang w:val="en-US" w:eastAsia="zh-CN"/>
        </w:rPr>
        <w:t>/d</w:t>
      </w:r>
      <w:r>
        <w:rPr>
          <w:rFonts w:hint="eastAsia" w:ascii="宋体" w:hAnsi="宋体" w:eastAsia="宋体" w:cs="宋体"/>
          <w:sz w:val="28"/>
          <w:szCs w:val="28"/>
        </w:rPr>
        <w:t>。</w:t>
      </w:r>
    </w:p>
    <w:p w14:paraId="57C6E745">
      <w:pPr>
        <w:spacing w:line="44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污水处理站日运行中所处理污水排放要求达到</w:t>
      </w:r>
      <w:r>
        <w:rPr>
          <w:rFonts w:hint="eastAsia" w:ascii="宋体" w:hAnsi="宋体" w:eastAsia="宋体" w:cs="宋体"/>
          <w:sz w:val="28"/>
          <w:szCs w:val="28"/>
          <w:lang w:val="en-US" w:eastAsia="zh-CN"/>
        </w:rPr>
        <w:t>《医疗机构水污染物排放标准》（GB 18466-2005）表2中预处理标准及当地环保要求的标准</w:t>
      </w:r>
      <w:r>
        <w:rPr>
          <w:rFonts w:hint="eastAsia" w:ascii="宋体" w:hAnsi="宋体" w:eastAsia="宋体" w:cs="宋体"/>
          <w:sz w:val="28"/>
          <w:szCs w:val="28"/>
        </w:rPr>
        <w:t xml:space="preserve">。主要污染物排放达标指标如下： </w:t>
      </w:r>
    </w:p>
    <w:p w14:paraId="02BDF8CC">
      <w:pPr>
        <w:pStyle w:val="2"/>
        <w:rPr>
          <w:rFonts w:hint="eastAsia"/>
        </w:rPr>
      </w:pPr>
      <w:bookmarkStart w:id="0" w:name="_GoBack"/>
      <w:bookmarkEnd w:id="0"/>
    </w:p>
    <w:p w14:paraId="1E70119D">
      <w:pPr>
        <w:numPr>
          <w:ilvl w:val="0"/>
          <w:numId w:val="1"/>
        </w:numPr>
        <w:spacing w:line="440" w:lineRule="exact"/>
        <w:ind w:firstLine="289"/>
        <w:rPr>
          <w:rFonts w:hint="eastAsia" w:ascii="宋体" w:hAnsi="宋体" w:eastAsia="宋体" w:cs="宋体"/>
          <w:sz w:val="28"/>
          <w:szCs w:val="28"/>
        </w:rPr>
      </w:pPr>
      <w:r>
        <w:rPr>
          <w:rFonts w:hint="eastAsia" w:ascii="宋体" w:hAnsi="宋体" w:eastAsia="宋体" w:cs="宋体"/>
          <w:sz w:val="28"/>
          <w:szCs w:val="28"/>
        </w:rPr>
        <w:t>pH                6-9</w:t>
      </w:r>
    </w:p>
    <w:p w14:paraId="6EA317B8">
      <w:pPr>
        <w:numPr>
          <w:ilvl w:val="0"/>
          <w:numId w:val="1"/>
        </w:numPr>
        <w:spacing w:line="440" w:lineRule="exact"/>
        <w:ind w:firstLine="289"/>
        <w:rPr>
          <w:rFonts w:hint="eastAsia" w:ascii="宋体" w:hAnsi="宋体" w:eastAsia="宋体" w:cs="宋体"/>
          <w:sz w:val="28"/>
          <w:szCs w:val="28"/>
        </w:rPr>
      </w:pPr>
      <w:r>
        <w:rPr>
          <w:rFonts w:hint="eastAsia" w:ascii="宋体" w:hAnsi="宋体" w:eastAsia="宋体" w:cs="宋体"/>
          <w:sz w:val="28"/>
          <w:szCs w:val="28"/>
        </w:rPr>
        <w:t>CODcr             ≤</w:t>
      </w:r>
      <w:r>
        <w:rPr>
          <w:rFonts w:hint="eastAsia" w:ascii="宋体" w:hAnsi="宋体" w:eastAsia="宋体" w:cs="宋体"/>
          <w:sz w:val="28"/>
          <w:szCs w:val="28"/>
          <w:lang w:val="en-US" w:eastAsia="zh-CN"/>
        </w:rPr>
        <w:t>250</w:t>
      </w:r>
      <w:r>
        <w:rPr>
          <w:rFonts w:hint="eastAsia" w:ascii="宋体" w:hAnsi="宋体" w:eastAsia="宋体" w:cs="宋体"/>
          <w:sz w:val="28"/>
          <w:szCs w:val="28"/>
        </w:rPr>
        <w:t xml:space="preserve"> mg/l</w:t>
      </w:r>
    </w:p>
    <w:p w14:paraId="7F0A894E">
      <w:pPr>
        <w:numPr>
          <w:ilvl w:val="0"/>
          <w:numId w:val="1"/>
        </w:numPr>
        <w:spacing w:line="440" w:lineRule="exact"/>
        <w:ind w:firstLine="289"/>
        <w:rPr>
          <w:rFonts w:hint="eastAsia" w:ascii="宋体" w:hAnsi="宋体" w:eastAsia="宋体" w:cs="宋体"/>
          <w:sz w:val="28"/>
          <w:szCs w:val="28"/>
        </w:rPr>
      </w:pPr>
      <w:r>
        <w:rPr>
          <w:rFonts w:hint="eastAsia" w:ascii="宋体" w:hAnsi="宋体" w:eastAsia="宋体" w:cs="宋体"/>
          <w:sz w:val="28"/>
          <w:szCs w:val="28"/>
        </w:rPr>
        <w:t>BOD</w:t>
      </w:r>
      <w:r>
        <w:rPr>
          <w:rFonts w:hint="eastAsia" w:ascii="宋体" w:hAnsi="宋体" w:eastAsia="宋体" w:cs="宋体"/>
          <w:sz w:val="28"/>
          <w:szCs w:val="28"/>
          <w:vertAlign w:val="subscript"/>
        </w:rPr>
        <w:t>5</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10</w:t>
      </w:r>
      <w:r>
        <w:rPr>
          <w:rFonts w:hint="eastAsia" w:ascii="宋体" w:hAnsi="宋体" w:eastAsia="宋体" w:cs="宋体"/>
          <w:sz w:val="28"/>
          <w:szCs w:val="28"/>
        </w:rPr>
        <w:t>0 mg/l</w:t>
      </w:r>
    </w:p>
    <w:p w14:paraId="16F5495A">
      <w:pPr>
        <w:numPr>
          <w:ilvl w:val="0"/>
          <w:numId w:val="1"/>
        </w:numPr>
        <w:spacing w:line="440" w:lineRule="exact"/>
        <w:ind w:firstLine="289"/>
        <w:rPr>
          <w:rFonts w:hint="eastAsia" w:ascii="宋体" w:hAnsi="宋体" w:eastAsia="宋体" w:cs="宋体"/>
          <w:sz w:val="28"/>
          <w:szCs w:val="28"/>
        </w:rPr>
      </w:pPr>
      <w:r>
        <w:rPr>
          <w:rFonts w:hint="eastAsia" w:ascii="宋体" w:hAnsi="宋体" w:eastAsia="宋体" w:cs="宋体"/>
          <w:sz w:val="28"/>
          <w:szCs w:val="28"/>
        </w:rPr>
        <w:t>SS                ≤</w:t>
      </w:r>
      <w:r>
        <w:rPr>
          <w:rFonts w:hint="eastAsia" w:ascii="宋体" w:hAnsi="宋体" w:eastAsia="宋体" w:cs="宋体"/>
          <w:sz w:val="28"/>
          <w:szCs w:val="28"/>
          <w:lang w:val="en-US" w:eastAsia="zh-CN"/>
        </w:rPr>
        <w:t>6</w:t>
      </w:r>
      <w:r>
        <w:rPr>
          <w:rFonts w:hint="eastAsia" w:ascii="宋体" w:hAnsi="宋体" w:eastAsia="宋体" w:cs="宋体"/>
          <w:sz w:val="28"/>
          <w:szCs w:val="28"/>
        </w:rPr>
        <w:t>0 mg/l</w:t>
      </w:r>
    </w:p>
    <w:p w14:paraId="5AE815E1">
      <w:pPr>
        <w:numPr>
          <w:ilvl w:val="0"/>
          <w:numId w:val="1"/>
        </w:numPr>
        <w:spacing w:line="440" w:lineRule="exact"/>
        <w:ind w:firstLine="289"/>
        <w:rPr>
          <w:rFonts w:hint="eastAsia" w:ascii="宋体" w:hAnsi="宋体" w:eastAsia="宋体" w:cs="宋体"/>
          <w:sz w:val="28"/>
          <w:szCs w:val="28"/>
        </w:rPr>
      </w:pPr>
      <w:r>
        <w:rPr>
          <w:rFonts w:hint="eastAsia" w:ascii="宋体" w:hAnsi="宋体" w:eastAsia="宋体" w:cs="宋体"/>
          <w:sz w:val="28"/>
          <w:szCs w:val="28"/>
        </w:rPr>
        <w:t xml:space="preserve">动植物油          ≤ </w:t>
      </w:r>
      <w:r>
        <w:rPr>
          <w:rFonts w:hint="eastAsia" w:ascii="宋体" w:hAnsi="宋体" w:eastAsia="宋体" w:cs="宋体"/>
          <w:sz w:val="28"/>
          <w:szCs w:val="28"/>
          <w:lang w:val="en-US" w:eastAsia="zh-CN"/>
        </w:rPr>
        <w:t>20</w:t>
      </w:r>
      <w:r>
        <w:rPr>
          <w:rFonts w:hint="eastAsia" w:ascii="宋体" w:hAnsi="宋体" w:eastAsia="宋体" w:cs="宋体"/>
          <w:sz w:val="28"/>
          <w:szCs w:val="28"/>
        </w:rPr>
        <w:t>mg/L</w:t>
      </w:r>
    </w:p>
    <w:p w14:paraId="44B90F45">
      <w:pPr>
        <w:numPr>
          <w:ilvl w:val="0"/>
          <w:numId w:val="1"/>
        </w:numPr>
        <w:spacing w:line="440" w:lineRule="exact"/>
        <w:ind w:firstLine="289"/>
        <w:rPr>
          <w:rFonts w:hint="eastAsia" w:ascii="宋体" w:hAnsi="宋体" w:eastAsia="宋体" w:cs="宋体"/>
          <w:sz w:val="28"/>
          <w:szCs w:val="28"/>
        </w:rPr>
      </w:pPr>
      <w:r>
        <w:rPr>
          <w:rFonts w:hint="eastAsia" w:ascii="宋体" w:hAnsi="宋体" w:eastAsia="宋体" w:cs="宋体"/>
          <w:sz w:val="28"/>
          <w:szCs w:val="28"/>
        </w:rPr>
        <w:t>粪大肠菌群数      ≤ 50</w:t>
      </w:r>
      <w:r>
        <w:rPr>
          <w:rFonts w:hint="eastAsia" w:ascii="宋体" w:hAnsi="宋体" w:eastAsia="宋体" w:cs="宋体"/>
          <w:sz w:val="28"/>
          <w:szCs w:val="28"/>
          <w:lang w:val="en-US" w:eastAsia="zh-CN"/>
        </w:rPr>
        <w:t>0</w:t>
      </w:r>
      <w:r>
        <w:rPr>
          <w:rFonts w:hint="eastAsia" w:ascii="宋体" w:hAnsi="宋体" w:eastAsia="宋体" w:cs="宋体"/>
          <w:sz w:val="28"/>
          <w:szCs w:val="28"/>
        </w:rPr>
        <w:t>0MPN/L</w:t>
      </w:r>
    </w:p>
    <w:p w14:paraId="10E6FB13">
      <w:pPr>
        <w:spacing w:line="440" w:lineRule="exact"/>
        <w:ind w:left="529" w:leftChars="197" w:hanging="115" w:hangingChars="41"/>
        <w:rPr>
          <w:rFonts w:hint="eastAsia" w:ascii="宋体" w:hAnsi="宋体" w:eastAsia="宋体" w:cs="宋体"/>
          <w:b/>
          <w:bCs/>
          <w:sz w:val="28"/>
          <w:szCs w:val="28"/>
        </w:rPr>
      </w:pPr>
      <w:r>
        <w:rPr>
          <w:rFonts w:hint="eastAsia" w:ascii="宋体" w:hAnsi="宋体" w:eastAsia="宋体" w:cs="宋体"/>
          <w:b/>
          <w:bCs/>
          <w:sz w:val="28"/>
          <w:szCs w:val="28"/>
        </w:rPr>
        <w:t>2</w:t>
      </w:r>
      <w:r>
        <w:rPr>
          <w:rFonts w:hint="eastAsia" w:ascii="宋体" w:hAnsi="宋体" w:eastAsia="宋体" w:cs="宋体"/>
          <w:b/>
          <w:bCs/>
          <w:sz w:val="28"/>
          <w:szCs w:val="28"/>
          <w:lang w:eastAsia="zh-CN"/>
        </w:rPr>
        <w:t>）</w:t>
      </w:r>
      <w:r>
        <w:rPr>
          <w:rFonts w:hint="eastAsia" w:ascii="宋体" w:hAnsi="宋体" w:eastAsia="宋体" w:cs="宋体"/>
          <w:b/>
          <w:bCs/>
          <w:sz w:val="28"/>
          <w:szCs w:val="28"/>
        </w:rPr>
        <w:t>环境管理台账记录要求：</w:t>
      </w:r>
    </w:p>
    <w:p w14:paraId="79F57BB5">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污染防治设施运行管理信息：主要</w:t>
      </w:r>
      <w:r>
        <w:rPr>
          <w:rFonts w:hint="eastAsia" w:ascii="宋体" w:hAnsi="宋体" w:eastAsia="宋体" w:cs="宋体"/>
          <w:sz w:val="28"/>
          <w:szCs w:val="28"/>
          <w:lang w:val="en-US" w:eastAsia="zh-CN"/>
        </w:rPr>
        <w:t>对</w:t>
      </w:r>
      <w:r>
        <w:rPr>
          <w:rFonts w:hint="eastAsia" w:ascii="宋体" w:hAnsi="宋体" w:eastAsia="宋体" w:cs="宋体"/>
          <w:sz w:val="28"/>
          <w:szCs w:val="28"/>
        </w:rPr>
        <w:t>污水处理设施的运行状态和药剂投放情况等进行记录</w:t>
      </w:r>
      <w:r>
        <w:rPr>
          <w:rFonts w:hint="eastAsia" w:ascii="宋体" w:hAnsi="宋体" w:eastAsia="宋体" w:cs="宋体"/>
          <w:sz w:val="28"/>
          <w:szCs w:val="28"/>
          <w:lang w:val="en-US" w:eastAsia="zh-CN"/>
        </w:rPr>
        <w:t>并形成台账</w:t>
      </w:r>
      <w:r>
        <w:rPr>
          <w:rFonts w:hint="eastAsia" w:ascii="宋体" w:hAnsi="宋体" w:eastAsia="宋体" w:cs="宋体"/>
          <w:sz w:val="28"/>
          <w:szCs w:val="28"/>
        </w:rPr>
        <w:t>，每天记录1次，记录形式为：电子台账+纸质台账。</w:t>
      </w:r>
    </w:p>
    <w:p w14:paraId="56EDDDEA">
      <w:pPr>
        <w:spacing w:line="440" w:lineRule="exact"/>
        <w:ind w:left="529" w:leftChars="197" w:hanging="115" w:hangingChars="41"/>
        <w:rPr>
          <w:rFonts w:hint="eastAsia" w:ascii="宋体" w:hAnsi="宋体" w:eastAsia="宋体" w:cs="宋体"/>
          <w:b/>
          <w:bCs/>
          <w:sz w:val="28"/>
          <w:szCs w:val="28"/>
        </w:rPr>
      </w:pPr>
      <w:r>
        <w:rPr>
          <w:rFonts w:hint="eastAsia" w:ascii="宋体" w:hAnsi="宋体" w:eastAsia="宋体" w:cs="宋体"/>
          <w:b/>
          <w:bCs/>
          <w:sz w:val="28"/>
          <w:szCs w:val="28"/>
          <w:lang w:val="en-US" w:eastAsia="zh-CN"/>
        </w:rPr>
        <w:t>3</w:t>
      </w:r>
      <w:r>
        <w:rPr>
          <w:rFonts w:hint="eastAsia" w:ascii="宋体" w:hAnsi="宋体" w:eastAsia="宋体" w:cs="宋体"/>
          <w:b/>
          <w:bCs/>
          <w:sz w:val="28"/>
          <w:szCs w:val="28"/>
          <w:lang w:eastAsia="zh-CN"/>
        </w:rPr>
        <w:t>）</w:t>
      </w:r>
      <w:r>
        <w:rPr>
          <w:rFonts w:hint="eastAsia" w:ascii="宋体" w:hAnsi="宋体" w:eastAsia="宋体" w:cs="宋体"/>
          <w:b/>
          <w:bCs/>
          <w:sz w:val="28"/>
          <w:szCs w:val="28"/>
        </w:rPr>
        <w:t>管理要求：</w:t>
      </w:r>
    </w:p>
    <w:p w14:paraId="0F8665BE">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（1）污水站运行管理：承包商提供污水处理站作业指导书，应确保按污水处理流程标准操作，处理污水需达到排放标准后排放，采购人将不定期对污水处理站排放的污水进行监测。</w:t>
      </w:r>
    </w:p>
    <w:p w14:paraId="5CF1F4FA">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（2）日常监测：承包商需对污水处理站进、出水取样进行日常监测，监测记录符合环保检测规范要求。</w:t>
      </w:r>
    </w:p>
    <w:p w14:paraId="703CDF3F">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color w:val="000000" w:themeColor="text1"/>
          <w:sz w:val="28"/>
          <w:szCs w:val="28"/>
          <w14:textFill>
            <w14:solidFill>
              <w14:schemeClr w14:val="tx1"/>
            </w14:solidFill>
          </w14:textFill>
        </w:rPr>
        <w:t>设备管理：污水站内全部设备</w:t>
      </w:r>
      <w:r>
        <w:rPr>
          <w:rFonts w:hint="eastAsia" w:ascii="宋体" w:hAnsi="宋体" w:eastAsia="宋体" w:cs="宋体"/>
          <w:color w:val="000000" w:themeColor="text1"/>
          <w:sz w:val="28"/>
          <w:szCs w:val="28"/>
          <w:lang w:val="en-US" w:eastAsia="zh-CN"/>
          <w14:textFill>
            <w14:solidFill>
              <w14:schemeClr w14:val="tx1"/>
            </w14:solidFill>
          </w14:textFill>
        </w:rPr>
        <w:t>均在质保期内</w:t>
      </w:r>
      <w:r>
        <w:rPr>
          <w:rFonts w:hint="eastAsia" w:ascii="宋体" w:hAnsi="宋体" w:eastAsia="宋体" w:cs="宋体"/>
          <w:color w:val="000000" w:themeColor="text1"/>
          <w:sz w:val="28"/>
          <w:szCs w:val="28"/>
          <w14:textFill>
            <w14:solidFill>
              <w14:schemeClr w14:val="tx1"/>
            </w14:solidFill>
          </w14:textFill>
        </w:rPr>
        <w:t>，由承包商</w:t>
      </w:r>
      <w:r>
        <w:rPr>
          <w:rFonts w:hint="eastAsia" w:ascii="宋体" w:hAnsi="宋体" w:eastAsia="宋体" w:cs="宋体"/>
          <w:color w:val="000000" w:themeColor="text1"/>
          <w:sz w:val="28"/>
          <w:szCs w:val="28"/>
          <w:lang w:val="en-US" w:eastAsia="zh-CN"/>
          <w14:textFill>
            <w14:solidFill>
              <w14:schemeClr w14:val="tx1"/>
            </w14:solidFill>
          </w14:textFill>
        </w:rPr>
        <w:t>按照设备的制造商及环评要求，把</w:t>
      </w:r>
      <w:r>
        <w:rPr>
          <w:rFonts w:hint="eastAsia" w:ascii="宋体" w:hAnsi="宋体" w:eastAsia="宋体" w:cs="宋体"/>
          <w:color w:val="000000" w:themeColor="text1"/>
          <w:sz w:val="28"/>
          <w:szCs w:val="28"/>
          <w14:textFill>
            <w14:solidFill>
              <w14:schemeClr w14:val="tx1"/>
            </w14:solidFill>
          </w14:textFill>
        </w:rPr>
        <w:t>设备操作及维护规程并张贴在现场，由承包商按该规程负责设备日常维护保养；承包商</w:t>
      </w:r>
      <w:r>
        <w:rPr>
          <w:rFonts w:hint="eastAsia" w:ascii="宋体" w:hAnsi="宋体" w:eastAsia="宋体" w:cs="宋体"/>
          <w:sz w:val="28"/>
          <w:szCs w:val="28"/>
        </w:rPr>
        <w:t>在日常运行中进行设备的维护保养时，应按采购人设备管理要求按时填写相关设备维护表格。承包商在设备出现故障时，须第一时间及时安排检修，</w:t>
      </w:r>
      <w:r>
        <w:rPr>
          <w:rFonts w:hint="eastAsia" w:ascii="宋体" w:hAnsi="宋体" w:eastAsia="宋体" w:cs="宋体"/>
          <w:sz w:val="28"/>
          <w:szCs w:val="28"/>
          <w:lang w:val="en-US" w:eastAsia="zh-CN"/>
        </w:rPr>
        <w:t>找到问题所在，</w:t>
      </w:r>
      <w:r>
        <w:rPr>
          <w:rFonts w:hint="eastAsia" w:ascii="宋体" w:hAnsi="宋体" w:eastAsia="宋体" w:cs="宋体"/>
          <w:sz w:val="28"/>
          <w:szCs w:val="28"/>
        </w:rPr>
        <w:t>并通知采购人。如果设备故障属于无法修复则承包商应立即启动应急方案（应急方案应提前提交至采购人备案）。</w:t>
      </w:r>
    </w:p>
    <w:p w14:paraId="7FF8B7E3">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（4）监测仪器管理：承包商在运营期间应按国家法律法规及承包商有关设备管理要求，定期对污水处理监测仪器及设备进行校准，监测数据要求可靠、准确。</w:t>
      </w:r>
    </w:p>
    <w:p w14:paraId="10766B71">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5）员工管理：承包商在承包运营期间，污水处理站应配备相应的人员。所有承包商工作人员在承包商工作期间，应遵守所有的管理规定。要求污水站处理工需持有污水处理操作证上岗；承包商负责保证其所有雇员在上岗工作之前接受采购人安全培训（签订安全协议书）。</w:t>
      </w:r>
    </w:p>
    <w:p w14:paraId="6E4C6BC4">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6）承包商需配合环保部门对处理排放的污水取样监测及环保部门要求的相关台账上报，如有不达标，后续处罚、罚款和后续整改工作及由此产生的费用由承包商负责；承包商应负责按采购人要求配合相关检查工作。</w:t>
      </w:r>
    </w:p>
    <w:p w14:paraId="157CE09E">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（7）污水处理站需按照365天×24小时运行，污水处理操作人员安排须考虑倒班/轮休因素，必须保证污水处理站管理人员常驻现场管理。</w:t>
      </w:r>
    </w:p>
    <w:p w14:paraId="754F4968">
      <w:pPr>
        <w:spacing w:line="440" w:lineRule="exact"/>
        <w:ind w:left="529" w:leftChars="197" w:hanging="115" w:hangingChars="41"/>
        <w:rPr>
          <w:rFonts w:hint="eastAsia" w:ascii="宋体" w:hAnsi="宋体" w:eastAsia="宋体" w:cs="宋体"/>
          <w:b/>
          <w:bCs/>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lang w:eastAsia="zh-CN"/>
        </w:rPr>
        <w:t>）</w:t>
      </w:r>
      <w:r>
        <w:rPr>
          <w:rFonts w:hint="eastAsia" w:ascii="宋体" w:hAnsi="宋体" w:eastAsia="宋体" w:cs="宋体"/>
          <w:b/>
          <w:bCs/>
          <w:sz w:val="28"/>
          <w:szCs w:val="28"/>
        </w:rPr>
        <w:t>现场管理要求：</w:t>
      </w:r>
    </w:p>
    <w:p w14:paraId="55EFCFBA">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（1）污水处理站应按采购人要求进行现场管理，不断完善提升现场管理</w:t>
      </w:r>
      <w:r>
        <w:rPr>
          <w:rFonts w:hint="eastAsia" w:ascii="宋体" w:hAnsi="宋体" w:eastAsia="宋体" w:cs="宋体"/>
          <w:sz w:val="28"/>
          <w:szCs w:val="28"/>
          <w:lang w:eastAsia="zh-CN"/>
        </w:rPr>
        <w:t>水平。</w:t>
      </w:r>
      <w:r>
        <w:rPr>
          <w:rFonts w:hint="eastAsia" w:ascii="宋体" w:hAnsi="宋体" w:eastAsia="宋体" w:cs="宋体"/>
          <w:sz w:val="28"/>
          <w:szCs w:val="28"/>
        </w:rPr>
        <w:t xml:space="preserve"> </w:t>
      </w:r>
    </w:p>
    <w:p w14:paraId="28887E42">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（2）承包商对现场化学品需分类存放，现场应配备相应标识和MSDS清单。</w:t>
      </w:r>
    </w:p>
    <w:p w14:paraId="6DD75592">
      <w:pPr>
        <w:pStyle w:val="4"/>
        <w:spacing w:line="440" w:lineRule="exact"/>
        <w:ind w:left="0" w:leftChars="0" w:firstLine="512" w:firstLineChars="183"/>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sz w:val="28"/>
          <w:szCs w:val="28"/>
        </w:rPr>
        <w:t>（3）</w:t>
      </w:r>
      <w:r>
        <w:rPr>
          <w:rFonts w:hint="eastAsia" w:ascii="宋体" w:hAnsi="宋体" w:eastAsia="宋体" w:cs="宋体"/>
          <w:color w:val="000000" w:themeColor="text1"/>
          <w:sz w:val="28"/>
          <w:szCs w:val="28"/>
          <w14:textFill>
            <w14:solidFill>
              <w14:schemeClr w14:val="tx1"/>
            </w14:solidFill>
          </w14:textFill>
        </w:rPr>
        <w:t>保持污水站内卫生与整洁。</w:t>
      </w:r>
    </w:p>
    <w:p w14:paraId="37B1DAEC">
      <w:pPr>
        <w:spacing w:line="440" w:lineRule="exact"/>
        <w:ind w:left="529" w:leftChars="197" w:hanging="115" w:hangingChars="41"/>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5</w:t>
      </w:r>
      <w:r>
        <w:rPr>
          <w:rFonts w:hint="eastAsia" w:ascii="宋体" w:hAnsi="宋体" w:eastAsia="宋体" w:cs="宋体"/>
          <w:b/>
          <w:bCs/>
          <w:color w:val="000000" w:themeColor="text1"/>
          <w:sz w:val="28"/>
          <w:szCs w:val="28"/>
          <w:lang w:eastAsia="zh-CN"/>
          <w14:textFill>
            <w14:solidFill>
              <w14:schemeClr w14:val="tx1"/>
            </w14:solidFill>
          </w14:textFill>
        </w:rPr>
        <w:t>）其他</w:t>
      </w:r>
      <w:r>
        <w:rPr>
          <w:rFonts w:hint="eastAsia" w:ascii="宋体" w:hAnsi="宋体" w:eastAsia="宋体" w:cs="宋体"/>
          <w:b/>
          <w:bCs/>
          <w:color w:val="000000" w:themeColor="text1"/>
          <w:sz w:val="28"/>
          <w:szCs w:val="28"/>
          <w14:textFill>
            <w14:solidFill>
              <w14:schemeClr w14:val="tx1"/>
            </w14:solidFill>
          </w14:textFill>
        </w:rPr>
        <w:t>相关要求：</w:t>
      </w:r>
    </w:p>
    <w:p w14:paraId="67CF50DB">
      <w:pPr>
        <w:pStyle w:val="4"/>
        <w:spacing w:line="440" w:lineRule="exact"/>
        <w:ind w:left="0" w:leftChars="0" w:firstLine="512" w:firstLineChars="183"/>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（1）污水站内全部设备</w:t>
      </w:r>
      <w:r>
        <w:rPr>
          <w:rFonts w:hint="eastAsia" w:ascii="宋体" w:hAnsi="宋体" w:eastAsia="宋体" w:cs="宋体"/>
          <w:color w:val="000000" w:themeColor="text1"/>
          <w:sz w:val="28"/>
          <w:szCs w:val="28"/>
          <w:lang w:val="en-US" w:eastAsia="zh-CN"/>
          <w14:textFill>
            <w14:solidFill>
              <w14:schemeClr w14:val="tx1"/>
            </w14:solidFill>
          </w14:textFill>
        </w:rPr>
        <w:t>均在质保期内</w:t>
      </w:r>
      <w:r>
        <w:rPr>
          <w:rFonts w:hint="eastAsia" w:ascii="宋体" w:hAnsi="宋体" w:eastAsia="宋体" w:cs="宋体"/>
          <w:color w:val="000000" w:themeColor="text1"/>
          <w:sz w:val="28"/>
          <w:szCs w:val="28"/>
          <w14:textFill>
            <w14:solidFill>
              <w14:schemeClr w14:val="tx1"/>
            </w14:solidFill>
          </w14:textFill>
        </w:rPr>
        <w:t>，由承包商</w:t>
      </w:r>
      <w:r>
        <w:rPr>
          <w:rFonts w:hint="eastAsia" w:ascii="宋体" w:hAnsi="宋体" w:eastAsia="宋体" w:cs="宋体"/>
          <w:color w:val="000000" w:themeColor="text1"/>
          <w:sz w:val="28"/>
          <w:szCs w:val="28"/>
          <w:lang w:val="en-US" w:eastAsia="zh-CN"/>
          <w14:textFill>
            <w14:solidFill>
              <w14:schemeClr w14:val="tx1"/>
            </w14:solidFill>
          </w14:textFill>
        </w:rPr>
        <w:t>只需</w:t>
      </w:r>
      <w:r>
        <w:rPr>
          <w:rFonts w:hint="eastAsia" w:ascii="宋体" w:hAnsi="宋体" w:eastAsia="宋体" w:cs="宋体"/>
          <w:color w:val="000000" w:themeColor="text1"/>
          <w:sz w:val="28"/>
          <w:szCs w:val="28"/>
          <w14:textFill>
            <w14:solidFill>
              <w14:schemeClr w14:val="tx1"/>
            </w14:solidFill>
          </w14:textFill>
        </w:rPr>
        <w:t>负责</w:t>
      </w:r>
      <w:r>
        <w:rPr>
          <w:rFonts w:hint="eastAsia" w:ascii="宋体" w:hAnsi="宋体" w:eastAsia="宋体" w:cs="宋体"/>
          <w:color w:val="000000" w:themeColor="text1"/>
          <w:sz w:val="28"/>
          <w:szCs w:val="28"/>
          <w:lang w:val="en-US" w:eastAsia="zh-CN"/>
          <w14:textFill>
            <w14:solidFill>
              <w14:schemeClr w14:val="tx1"/>
            </w14:solidFill>
          </w14:textFill>
        </w:rPr>
        <w:t>设备的</w:t>
      </w:r>
      <w:r>
        <w:rPr>
          <w:rFonts w:hint="eastAsia" w:ascii="宋体" w:hAnsi="宋体" w:eastAsia="宋体" w:cs="宋体"/>
          <w:color w:val="000000" w:themeColor="text1"/>
          <w:sz w:val="28"/>
          <w:szCs w:val="28"/>
          <w14:textFill>
            <w14:solidFill>
              <w14:schemeClr w14:val="tx1"/>
            </w14:solidFill>
          </w14:textFill>
        </w:rPr>
        <w:t>日常维护</w:t>
      </w:r>
      <w:r>
        <w:rPr>
          <w:rFonts w:hint="eastAsia" w:ascii="宋体" w:hAnsi="宋体" w:eastAsia="宋体" w:cs="宋体"/>
          <w:color w:val="000000" w:themeColor="text1"/>
          <w:sz w:val="28"/>
          <w:szCs w:val="28"/>
          <w:lang w:val="en-US" w:eastAsia="zh-CN"/>
          <w14:textFill>
            <w14:solidFill>
              <w14:schemeClr w14:val="tx1"/>
            </w14:solidFill>
          </w14:textFill>
        </w:rPr>
        <w:t>及</w:t>
      </w:r>
      <w:r>
        <w:rPr>
          <w:rFonts w:hint="eastAsia" w:ascii="宋体" w:hAnsi="宋体" w:eastAsia="宋体" w:cs="宋体"/>
          <w:color w:val="000000" w:themeColor="text1"/>
          <w:sz w:val="28"/>
          <w:szCs w:val="28"/>
          <w14:textFill>
            <w14:solidFill>
              <w14:schemeClr w14:val="tx1"/>
            </w14:solidFill>
          </w14:textFill>
        </w:rPr>
        <w:t>保养</w:t>
      </w:r>
      <w:r>
        <w:rPr>
          <w:rFonts w:hint="eastAsia" w:ascii="宋体" w:hAnsi="宋体" w:eastAsia="宋体" w:cs="宋体"/>
          <w:color w:val="000000" w:themeColor="text1"/>
          <w:sz w:val="28"/>
          <w:szCs w:val="28"/>
          <w:lang w:eastAsia="zh-CN"/>
          <w14:textFill>
            <w14:solidFill>
              <w14:schemeClr w14:val="tx1"/>
            </w14:solidFill>
          </w14:textFill>
        </w:rPr>
        <w:t>。</w:t>
      </w:r>
    </w:p>
    <w:p w14:paraId="22785F77">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color w:val="000000" w:themeColor="text1"/>
          <w:sz w:val="28"/>
          <w:szCs w:val="28"/>
          <w14:textFill>
            <w14:solidFill>
              <w14:schemeClr w14:val="tx1"/>
            </w14:solidFill>
          </w14:textFill>
        </w:rPr>
        <w:t>（2）污水站内全部设备设施，承包商应负责监护，如因承包商监护不当原因造成的损失由承包商负责修</w:t>
      </w:r>
      <w:r>
        <w:rPr>
          <w:rFonts w:hint="eastAsia" w:ascii="宋体" w:hAnsi="宋体" w:eastAsia="宋体" w:cs="宋体"/>
          <w:sz w:val="28"/>
          <w:szCs w:val="28"/>
        </w:rPr>
        <w:t xml:space="preserve">复或同规格品牌更换。 </w:t>
      </w:r>
    </w:p>
    <w:p w14:paraId="1F6E8B0D">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（3）承包商服务期满，必须对其接替单位人员进行污水处理操作培训，相关污水站资料和图纸、设备进行移交，移交时设备完好率</w:t>
      </w:r>
      <w:r>
        <w:rPr>
          <w:rFonts w:hint="eastAsia" w:ascii="宋体" w:hAnsi="宋体" w:eastAsia="宋体" w:cs="宋体"/>
          <w:sz w:val="28"/>
          <w:szCs w:val="28"/>
          <w:lang w:eastAsia="zh-CN"/>
        </w:rPr>
        <w:t>100%</w:t>
      </w:r>
      <w:r>
        <w:rPr>
          <w:rFonts w:hint="eastAsia" w:ascii="宋体" w:hAnsi="宋体" w:eastAsia="宋体" w:cs="宋体"/>
          <w:sz w:val="28"/>
          <w:szCs w:val="28"/>
        </w:rPr>
        <w:t>。</w:t>
      </w:r>
    </w:p>
    <w:p w14:paraId="6A482B71">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（4）采购人有权对承包商工作人员进行考勤及工作考核。</w:t>
      </w:r>
    </w:p>
    <w:p w14:paraId="0A8B4DFB">
      <w:pPr>
        <w:pStyle w:val="4"/>
        <w:spacing w:line="440" w:lineRule="exact"/>
        <w:ind w:left="0" w:leftChars="0" w:firstLine="512" w:firstLineChars="183"/>
        <w:rPr>
          <w:rFonts w:hint="eastAsia" w:ascii="宋体" w:hAnsi="宋体" w:eastAsia="宋体" w:cs="宋体"/>
          <w:sz w:val="28"/>
          <w:szCs w:val="28"/>
        </w:rPr>
      </w:pPr>
      <w:r>
        <w:rPr>
          <w:rFonts w:hint="eastAsia" w:ascii="宋体" w:hAnsi="宋体" w:eastAsia="宋体" w:cs="宋体"/>
          <w:sz w:val="28"/>
          <w:szCs w:val="28"/>
        </w:rPr>
        <w:t>（5）供应商书面承诺在合同期内如在监测中或在环保部门的抽查、监测中发现有由己方原因产生不达标排放的行为，供应商承担由此而造成的一切经济损失及法律责任。</w:t>
      </w:r>
    </w:p>
    <w:p w14:paraId="13A89F5E">
      <w:pPr>
        <w:spacing w:line="360" w:lineRule="auto"/>
        <w:ind w:left="0" w:leftChars="0" w:firstLine="0" w:firstLineChars="0"/>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五、报价内容要求：</w:t>
      </w:r>
    </w:p>
    <w:p w14:paraId="13F79837">
      <w:pPr>
        <w:spacing w:line="440" w:lineRule="exact"/>
        <w:ind w:left="0" w:leftChars="0" w:firstLine="512" w:firstLineChars="183"/>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1、运维费报价包含的费</w:t>
      </w:r>
      <w:r>
        <w:rPr>
          <w:rFonts w:hint="eastAsia" w:ascii="宋体" w:hAnsi="宋体" w:eastAsia="宋体" w:cs="宋体"/>
          <w:color w:val="auto"/>
          <w:sz w:val="28"/>
          <w:szCs w:val="28"/>
          <w:lang w:val="en-US" w:eastAsia="zh-CN"/>
        </w:rPr>
        <w:t>用：人工费、药剂费、设备维护维护费(含设备更换)、日常水质检测费、污泥滤处置费、在线监测设备运维费、平台维护费、管理费、利润及税金等。</w:t>
      </w:r>
    </w:p>
    <w:p w14:paraId="1792BE15">
      <w:pPr>
        <w:spacing w:line="440" w:lineRule="exact"/>
        <w:ind w:left="0" w:leftChars="0" w:firstLine="512" w:firstLineChars="183"/>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供应商在供应运营期间，污水处理站应配备相应的人员。污水站处理工需持有污水处理操作证上岗；提供全天候应急处理服务，接到报修通知后30分钟内赶到现场，发生故障需要应急处理时不受正常工作时间限制。如一时无法修复，供应商应提供备品供采购方使用。（在维修期间要保证污水无外泄等不良环保现象）</w:t>
      </w:r>
    </w:p>
    <w:p w14:paraId="666CB5C2">
      <w:pPr>
        <w:spacing w:line="440" w:lineRule="exact"/>
        <w:ind w:left="0" w:leftChars="0" w:firstLine="512" w:firstLineChars="183"/>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3、本项目污水排放必须满足《医疗机构水污染物排放标准》（GB 18466-2005）表2中预处理标准和当地环保部门的排放要求。</w:t>
      </w:r>
    </w:p>
    <w:p w14:paraId="48EEC161">
      <w:pPr>
        <w:spacing w:line="440" w:lineRule="exact"/>
        <w:ind w:left="0" w:leftChars="0" w:firstLine="512" w:firstLineChars="183"/>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4、维保单位于甲方规定时间内正式进场运维。</w:t>
      </w:r>
    </w:p>
    <w:p w14:paraId="7F57FB91">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A1262"/>
    <w:multiLevelType w:val="multilevel"/>
    <w:tmpl w:val="04AA126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1643"/>
    <w:rsid w:val="038D4BD7"/>
    <w:rsid w:val="11FB1E1B"/>
    <w:rsid w:val="1DFC266C"/>
    <w:rsid w:val="2FD53290"/>
    <w:rsid w:val="35A41A9C"/>
    <w:rsid w:val="39B919CB"/>
    <w:rsid w:val="42565914"/>
    <w:rsid w:val="54863CC4"/>
    <w:rsid w:val="6DEE4F77"/>
    <w:rsid w:val="71F256B6"/>
    <w:rsid w:val="7684008E"/>
    <w:rsid w:val="7B2C39A7"/>
    <w:rsid w:val="7C091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basedOn w:val="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4">
    <w:name w:val="Normal Indent"/>
    <w:basedOn w:val="1"/>
    <w:qFormat/>
    <w:uiPriority w:val="0"/>
    <w:pPr>
      <w:ind w:firstLine="420" w:firstLineChars="200"/>
    </w:pPr>
  </w:style>
  <w:style w:type="paragraph" w:styleId="5">
    <w:name w:val="Plain Text"/>
    <w:basedOn w:val="1"/>
    <w:qFormat/>
    <w:uiPriority w:val="0"/>
    <w:pPr>
      <w:spacing w:line="360" w:lineRule="auto"/>
    </w:pPr>
    <w:rPr>
      <w:rFonts w:ascii="楷体_GB2312" w:hAnsi="Courier New" w:eastAsia="楷体_GB2312"/>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2732</Words>
  <Characters>2845</Characters>
  <Lines>0</Lines>
  <Paragraphs>0</Paragraphs>
  <TotalTime>322</TotalTime>
  <ScaleCrop>false</ScaleCrop>
  <LinksUpToDate>false</LinksUpToDate>
  <CharactersWithSpaces>2934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2025-05-27T08:36:00Z</dcterms:created>
  <dc:creator>admin</dc:creator>
  <cp:lastModifiedBy>WPS_1646467731</cp:lastModifiedBy>
  <dcterms:modified xsi:type="dcterms:W3CDTF">2026-10-08T08:09:45Z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eyJoZGlkIjoiNzQ2NTdmYTU2MzQ0NDE3OTZhNDkzMmYyN2RjNmIyNDciLCJ1c2VySWQiOiIxMzM2OTg0MDQ5In0=</vt:lpwstr>
  </property>
  <property fmtid="{D5CDD505-2E9C-101B-9397-08002B2CF9AE}" pid="4" name="ICV">
    <vt:lpwstr>DFDA02865FA3494DBE409E0CEEC4DA1E_12</vt:lpwstr>
  </property>
</Properties>
</file>