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5915F">
      <w:pPr>
        <w:widowControl/>
        <w:spacing w:line="360" w:lineRule="auto"/>
        <w:ind w:right="676" w:rightChars="322"/>
        <w:rPr>
          <w:rFonts w:ascii="黑体" w:hAnsi="黑体" w:eastAsia="黑体"/>
          <w:b/>
          <w:color w:val="000000" w:themeColor="text1"/>
          <w:w w:val="85"/>
          <w:sz w:val="44"/>
          <w:szCs w:val="44"/>
          <w14:textFill>
            <w14:solidFill>
              <w14:schemeClr w14:val="tx1"/>
            </w14:solidFill>
          </w14:textFill>
        </w:rPr>
      </w:pPr>
      <w:r>
        <w:rPr>
          <w:rFonts w:hint="eastAsia" w:ascii="楷体" w:hAnsi="楷体" w:eastAsia="楷体" w:cs="楷体"/>
          <w:bCs/>
          <w:color w:val="000000" w:themeColor="text1"/>
          <w:w w:val="85"/>
          <w:sz w:val="24"/>
          <w14:textFill>
            <w14:solidFill>
              <w14:schemeClr w14:val="tx1"/>
            </w14:solidFill>
          </w14:textFill>
        </w:rPr>
        <w:t xml:space="preserve">  </w:t>
      </w:r>
    </w:p>
    <w:p w14:paraId="7109AF6C">
      <w:pPr>
        <w:widowControl/>
        <w:spacing w:line="540" w:lineRule="exact"/>
        <w:ind w:right="676" w:rightChars="322"/>
        <w:jc w:val="center"/>
        <w:rPr>
          <w:rFonts w:hint="eastAsia" w:ascii="黑体" w:hAnsi="黑体" w:eastAsia="黑体"/>
          <w:b/>
          <w:color w:val="000000" w:themeColor="text1"/>
          <w:w w:val="85"/>
          <w:sz w:val="44"/>
          <w:szCs w:val="44"/>
          <w:lang w:val="en-US" w:eastAsia="zh-CN"/>
          <w14:textFill>
            <w14:solidFill>
              <w14:schemeClr w14:val="tx1"/>
            </w14:solidFill>
          </w14:textFill>
        </w:rPr>
      </w:pPr>
      <w:r>
        <w:rPr>
          <w:rFonts w:hint="eastAsia" w:ascii="黑体" w:hAnsi="黑体" w:eastAsia="黑体"/>
          <w:b/>
          <w:color w:val="000000" w:themeColor="text1"/>
          <w:w w:val="85"/>
          <w:sz w:val="44"/>
          <w:szCs w:val="44"/>
          <w14:textFill>
            <w14:solidFill>
              <w14:schemeClr w14:val="tx1"/>
            </w14:solidFill>
          </w14:textFill>
        </w:rPr>
        <w:t xml:space="preserve">  </w:t>
      </w:r>
      <w:r>
        <w:rPr>
          <w:rFonts w:hint="eastAsia" w:ascii="黑体" w:hAnsi="黑体" w:eastAsia="黑体"/>
          <w:b/>
          <w:color w:val="000000" w:themeColor="text1"/>
          <w:w w:val="85"/>
          <w:sz w:val="44"/>
          <w:szCs w:val="44"/>
          <w:lang w:val="en-US" w:eastAsia="zh-CN"/>
          <w14:textFill>
            <w14:solidFill>
              <w14:schemeClr w14:val="tx1"/>
            </w14:solidFill>
          </w14:textFill>
        </w:rPr>
        <w:t>江西中医药大学附属医院法律顾问服务</w:t>
      </w:r>
    </w:p>
    <w:p w14:paraId="692C6CCA">
      <w:pPr>
        <w:widowControl/>
        <w:spacing w:line="540" w:lineRule="exact"/>
        <w:ind w:right="676" w:rightChars="322"/>
        <w:jc w:val="center"/>
        <w:rPr>
          <w:rFonts w:ascii="黑体" w:hAnsi="黑体" w:eastAsia="黑体"/>
          <w:b/>
          <w:color w:val="000000" w:themeColor="text1"/>
          <w:w w:val="85"/>
          <w:sz w:val="44"/>
          <w:szCs w:val="44"/>
          <w14:textFill>
            <w14:solidFill>
              <w14:schemeClr w14:val="tx1"/>
            </w14:solidFill>
          </w14:textFill>
        </w:rPr>
      </w:pPr>
      <w:r>
        <w:rPr>
          <w:rFonts w:hint="eastAsia" w:ascii="黑体" w:hAnsi="黑体" w:eastAsia="黑体"/>
          <w:b/>
          <w:color w:val="000000" w:themeColor="text1"/>
          <w:w w:val="85"/>
          <w:sz w:val="44"/>
          <w:szCs w:val="44"/>
          <w14:textFill>
            <w14:solidFill>
              <w14:schemeClr w14:val="tx1"/>
            </w14:solidFill>
          </w14:textFill>
        </w:rPr>
        <w:t xml:space="preserve"> 采 购 需 求</w:t>
      </w:r>
    </w:p>
    <w:p w14:paraId="382C2823">
      <w:pPr>
        <w:spacing w:line="540" w:lineRule="exact"/>
        <w:jc w:val="left"/>
        <w:rPr>
          <w:rFonts w:ascii="黑体" w:hAnsi="黑体" w:eastAsia="黑体"/>
          <w:b/>
          <w:bCs/>
          <w:color w:val="000000" w:themeColor="text1"/>
          <w:sz w:val="30"/>
          <w:szCs w:val="30"/>
          <w14:textFill>
            <w14:solidFill>
              <w14:schemeClr w14:val="tx1"/>
            </w14:solidFill>
          </w14:textFill>
        </w:rPr>
      </w:pPr>
      <w:r>
        <w:rPr>
          <w:rFonts w:hint="eastAsia" w:ascii="黑体" w:hAnsi="黑体" w:eastAsia="黑体"/>
          <w:b/>
          <w:bCs/>
          <w:color w:val="000000" w:themeColor="text1"/>
          <w:sz w:val="30"/>
          <w:szCs w:val="30"/>
          <w14:textFill>
            <w14:solidFill>
              <w14:schemeClr w14:val="tx1"/>
            </w14:solidFill>
          </w14:textFill>
        </w:rPr>
        <w:t>技术商务要求</w:t>
      </w:r>
    </w:p>
    <w:p w14:paraId="0E1E1CFE">
      <w:pPr>
        <w:keepNext w:val="0"/>
        <w:keepLines w:val="0"/>
        <w:pageBreakBefore w:val="0"/>
        <w:widowControl w:val="0"/>
        <w:kinsoku/>
        <w:wordWrap/>
        <w:overflowPunct/>
        <w:topLinePunct w:val="0"/>
        <w:autoSpaceDE/>
        <w:autoSpaceDN/>
        <w:bidi w:val="0"/>
        <w:adjustRightInd/>
        <w:snapToGrid/>
        <w:spacing w:before="75" w:line="540" w:lineRule="exact"/>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pacing w:val="7"/>
          <w:sz w:val="30"/>
          <w:szCs w:val="30"/>
          <w:lang w:val="en-US" w:eastAsia="zh-CN"/>
          <w14:textOutline w14:w="4358" w14:cap="sq" w14:cmpd="sng">
            <w14:solidFill>
              <w14:srgbClr w14:val="000000"/>
            </w14:solidFill>
            <w14:prstDash w14:val="solid"/>
            <w14:bevel/>
          </w14:textOutline>
          <w14:textFill>
            <w14:solidFill>
              <w14:schemeClr w14:val="tx1"/>
            </w14:solidFill>
          </w14:textFill>
        </w:rPr>
        <w:t>1.技术需求</w:t>
      </w:r>
    </w:p>
    <w:p w14:paraId="1C1E2C5F">
      <w:pPr>
        <w:spacing w:line="540" w:lineRule="exact"/>
        <w:ind w:firstLine="643" w:firstLineChars="200"/>
        <w:rPr>
          <w:rFonts w:hint="default" w:ascii="仿宋" w:hAnsi="仿宋" w:eastAsia="仿宋"/>
          <w:b/>
          <w:bCs/>
          <w:color w:val="000000" w:themeColor="text1"/>
          <w:sz w:val="32"/>
          <w:szCs w:val="32"/>
          <w:lang w:val="en-US"/>
          <w14:textFill>
            <w14:solidFill>
              <w14:schemeClr w14:val="tx1"/>
            </w14:solidFill>
          </w14:textFill>
        </w:rPr>
      </w:pPr>
      <w:r>
        <w:rPr>
          <w:rFonts w:hint="eastAsia" w:ascii="仿宋" w:hAnsi="仿宋" w:eastAsia="仿宋"/>
          <w:b/>
          <w:bCs/>
          <w:color w:val="000000" w:themeColor="text1"/>
          <w:sz w:val="32"/>
          <w:szCs w:val="32"/>
          <w:lang w:val="en-US" w:eastAsia="zh-CN"/>
          <w14:textFill>
            <w14:solidFill>
              <w14:schemeClr w14:val="tx1"/>
            </w14:solidFill>
          </w14:textFill>
        </w:rPr>
        <w:t>1.1非诉讼类服务</w:t>
      </w:r>
    </w:p>
    <w:p w14:paraId="7B344797">
      <w:pPr>
        <w:spacing w:line="540" w:lineRule="exact"/>
        <w:ind w:firstLine="640" w:firstLineChars="20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1.1.1日常法律咨询</w:t>
      </w:r>
    </w:p>
    <w:p w14:paraId="103A9E67">
      <w:pPr>
        <w:spacing w:line="54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应</w:t>
      </w:r>
      <w:r>
        <w:rPr>
          <w:rFonts w:hint="eastAsia" w:ascii="仿宋" w:hAnsi="仿宋" w:eastAsia="仿宋"/>
          <w:color w:val="000000" w:themeColor="text1"/>
          <w:sz w:val="32"/>
          <w:szCs w:val="32"/>
          <w14:textFill>
            <w14:solidFill>
              <w14:schemeClr w14:val="tx1"/>
            </w14:solidFill>
          </w14:textFill>
        </w:rPr>
        <w:t>采购人</w:t>
      </w:r>
      <w:r>
        <w:rPr>
          <w:rFonts w:hint="eastAsia" w:ascii="仿宋" w:hAnsi="仿宋" w:eastAsia="仿宋"/>
          <w:color w:val="000000" w:themeColor="text1"/>
          <w:sz w:val="32"/>
          <w:szCs w:val="32"/>
          <w:lang w:val="en-US" w:eastAsia="zh-CN"/>
          <w14:textFill>
            <w14:solidFill>
              <w14:schemeClr w14:val="tx1"/>
            </w14:solidFill>
          </w14:textFill>
        </w:rPr>
        <w:t>要求，解答</w:t>
      </w:r>
      <w:r>
        <w:rPr>
          <w:rFonts w:hint="eastAsia" w:ascii="仿宋" w:hAnsi="仿宋" w:eastAsia="仿宋"/>
          <w:color w:val="000000" w:themeColor="text1"/>
          <w:sz w:val="32"/>
          <w:szCs w:val="32"/>
          <w14:textFill>
            <w14:solidFill>
              <w14:schemeClr w14:val="tx1"/>
            </w14:solidFill>
          </w14:textFill>
        </w:rPr>
        <w:t>采购人</w:t>
      </w:r>
      <w:r>
        <w:rPr>
          <w:rFonts w:hint="eastAsia" w:ascii="仿宋" w:hAnsi="仿宋" w:eastAsia="仿宋"/>
          <w:color w:val="000000" w:themeColor="text1"/>
          <w:sz w:val="32"/>
          <w:szCs w:val="32"/>
          <w:lang w:val="en-US" w:eastAsia="zh-CN"/>
          <w14:textFill>
            <w14:solidFill>
              <w14:schemeClr w14:val="tx1"/>
            </w14:solidFill>
          </w14:textFill>
        </w:rPr>
        <w:t>提出的各类法律咨询。协助</w:t>
      </w:r>
      <w:r>
        <w:rPr>
          <w:rFonts w:hint="eastAsia" w:ascii="仿宋" w:hAnsi="仿宋" w:eastAsia="仿宋"/>
          <w:color w:val="000000" w:themeColor="text1"/>
          <w:sz w:val="32"/>
          <w:szCs w:val="32"/>
          <w14:textFill>
            <w14:solidFill>
              <w14:schemeClr w14:val="tx1"/>
            </w14:solidFill>
          </w14:textFill>
        </w:rPr>
        <w:t>完善内控机制，为采购人部门内部管理工作提供法律意见；</w:t>
      </w:r>
    </w:p>
    <w:p w14:paraId="295C442D">
      <w:pPr>
        <w:spacing w:line="540" w:lineRule="exact"/>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对采购人重大决策的合法性、可行性及决策实施可能涉及的法律风险进行研究、论证、评估并提出法律意见和建议；对采购人在对外交往、重大项目中涉及的法律问题提供咨询、论证意见</w:t>
      </w:r>
      <w:r>
        <w:rPr>
          <w:rFonts w:hint="eastAsia" w:ascii="仿宋" w:hAnsi="仿宋" w:eastAsia="仿宋"/>
          <w:color w:val="000000" w:themeColor="text1"/>
          <w:sz w:val="32"/>
          <w:szCs w:val="32"/>
          <w:lang w:eastAsia="zh-CN"/>
          <w14:textFill>
            <w14:solidFill>
              <w14:schemeClr w14:val="tx1"/>
            </w14:solidFill>
          </w14:textFill>
        </w:rPr>
        <w:t>；审查甲方在日常经营过程中的广告、营销、宣传等环节进行法律风控。</w:t>
      </w:r>
    </w:p>
    <w:p w14:paraId="0C5AD7A4">
      <w:pPr>
        <w:spacing w:line="540" w:lineRule="exact"/>
        <w:ind w:firstLine="640" w:firstLineChars="20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1.1.2合同等法律文书草拟、审查</w:t>
      </w:r>
    </w:p>
    <w:p w14:paraId="040D8E7E">
      <w:pPr>
        <w:spacing w:line="540" w:lineRule="exact"/>
        <w:ind w:firstLine="640" w:firstLineChars="20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为采购人已出台相关管理制度性文件进行法律合规性审查和风险评估，并向采购人出具法律风险评估报告和修改意见；为采购人起草或拟发布的规范性文件草案进行合法性审查或法律论证，并提供法律意见或建议；对有关合同、协议及其他相关法律文书进行草拟、审查或</w:t>
      </w:r>
      <w:r>
        <w:rPr>
          <w:rFonts w:hint="eastAsia" w:ascii="仿宋" w:hAnsi="仿宋" w:eastAsia="仿宋"/>
          <w:b w:val="0"/>
          <w:bCs w:val="0"/>
          <w:color w:val="000000" w:themeColor="text1"/>
          <w:sz w:val="32"/>
          <w:szCs w:val="32"/>
          <w14:textFill>
            <w14:solidFill>
              <w14:schemeClr w14:val="tx1"/>
            </w14:solidFill>
          </w14:textFill>
        </w:rPr>
        <w:t>修订</w:t>
      </w:r>
      <w:r>
        <w:rPr>
          <w:rFonts w:hint="eastAsia" w:ascii="仿宋" w:hAnsi="仿宋" w:eastAsia="仿宋"/>
          <w:b w:val="0"/>
          <w:bCs w:val="0"/>
          <w:color w:val="000000" w:themeColor="text1"/>
          <w:sz w:val="32"/>
          <w:szCs w:val="32"/>
          <w:lang w:eastAsia="zh-CN"/>
          <w14:textFill>
            <w14:solidFill>
              <w14:schemeClr w14:val="tx1"/>
            </w14:solidFill>
          </w14:textFill>
        </w:rPr>
        <w:t>，</w:t>
      </w:r>
      <w:r>
        <w:rPr>
          <w:rFonts w:hint="eastAsia" w:ascii="仿宋" w:hAnsi="仿宋" w:eastAsia="仿宋"/>
          <w:b w:val="0"/>
          <w:bCs w:val="0"/>
          <w:color w:val="000000" w:themeColor="text1"/>
          <w:sz w:val="32"/>
          <w:szCs w:val="32"/>
          <w:lang w:val="en-US" w:eastAsia="zh-CN"/>
          <w14:textFill>
            <w14:solidFill>
              <w14:schemeClr w14:val="tx1"/>
            </w14:solidFill>
          </w14:textFill>
        </w:rPr>
        <w:t>按照采购人制度会签合同意见</w:t>
      </w:r>
      <w:r>
        <w:rPr>
          <w:rFonts w:hint="eastAsia" w:ascii="仿宋" w:hAnsi="仿宋" w:eastAsia="仿宋"/>
          <w:b w:val="0"/>
          <w:bCs w:val="0"/>
          <w:color w:val="000000" w:themeColor="text1"/>
          <w:sz w:val="32"/>
          <w:szCs w:val="32"/>
          <w14:textFill>
            <w14:solidFill>
              <w14:schemeClr w14:val="tx1"/>
            </w14:solidFill>
          </w14:textFill>
        </w:rPr>
        <w:t>；对合同</w:t>
      </w:r>
      <w:r>
        <w:rPr>
          <w:rFonts w:hint="eastAsia" w:ascii="仿宋" w:hAnsi="仿宋" w:eastAsia="仿宋"/>
          <w:color w:val="000000" w:themeColor="text1"/>
          <w:sz w:val="32"/>
          <w:szCs w:val="32"/>
          <w14:textFill>
            <w14:solidFill>
              <w14:schemeClr w14:val="tx1"/>
            </w14:solidFill>
          </w14:textFill>
        </w:rPr>
        <w:t>执行过程中发生的纠纷事项提供法律支持</w:t>
      </w:r>
      <w:r>
        <w:rPr>
          <w:rFonts w:hint="eastAsia" w:ascii="仿宋" w:hAnsi="仿宋" w:eastAsia="仿宋"/>
          <w:color w:val="000000" w:themeColor="text1"/>
          <w:sz w:val="32"/>
          <w:szCs w:val="32"/>
          <w:lang w:eastAsia="zh-CN"/>
          <w14:textFill>
            <w14:solidFill>
              <w14:schemeClr w14:val="tx1"/>
            </w14:solidFill>
          </w14:textFill>
        </w:rPr>
        <w:t>。</w:t>
      </w:r>
    </w:p>
    <w:p w14:paraId="74698B1A">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1.1.3劳动人事、信访、知识产权等方面事务处理</w:t>
      </w:r>
    </w:p>
    <w:p w14:paraId="2869C2B0">
      <w:pPr>
        <w:spacing w:line="540" w:lineRule="exact"/>
        <w:ind w:firstLine="64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协助处理劳动、人事、薪资等方面事务，就人事纠纷等问题提供法律资料，出具法律意见；</w:t>
      </w:r>
      <w:r>
        <w:rPr>
          <w:rFonts w:hint="eastAsia" w:ascii="仿宋" w:hAnsi="仿宋" w:eastAsia="仿宋"/>
          <w:color w:val="000000" w:themeColor="text1"/>
          <w:sz w:val="32"/>
          <w:szCs w:val="32"/>
          <w:lang w:val="en-US" w:eastAsia="zh-CN"/>
          <w14:textFill>
            <w14:solidFill>
              <w14:schemeClr w14:val="tx1"/>
            </w14:solidFill>
          </w14:textFill>
        </w:rPr>
        <w:t>协助处理采购人信访等事项；</w:t>
      </w:r>
      <w:r>
        <w:rPr>
          <w:rFonts w:hint="eastAsia" w:ascii="仿宋" w:hAnsi="仿宋" w:eastAsia="仿宋"/>
          <w:color w:val="000000" w:themeColor="text1"/>
          <w:sz w:val="32"/>
          <w:szCs w:val="32"/>
          <w14:textFill>
            <w14:solidFill>
              <w14:schemeClr w14:val="tx1"/>
            </w14:solidFill>
          </w14:textFill>
        </w:rPr>
        <w:t>协助采购人处理相关知识产权保护事宜、参与代理采购人涉及的知识产权纠纷并提供相关法律咨询服务</w:t>
      </w:r>
      <w:r>
        <w:rPr>
          <w:rFonts w:hint="eastAsia" w:ascii="仿宋" w:hAnsi="仿宋" w:eastAsia="仿宋"/>
          <w:color w:val="000000" w:themeColor="text1"/>
          <w:sz w:val="32"/>
          <w:szCs w:val="32"/>
          <w:lang w:eastAsia="zh-CN"/>
          <w14:textFill>
            <w14:solidFill>
              <w14:schemeClr w14:val="tx1"/>
            </w14:solidFill>
          </w14:textFill>
        </w:rPr>
        <w:t>。</w:t>
      </w:r>
    </w:p>
    <w:p w14:paraId="58AF9067">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1.1.4普法宣传</w:t>
      </w:r>
    </w:p>
    <w:p w14:paraId="5232C7D5">
      <w:pPr>
        <w:spacing w:line="54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应采购人要求，对</w:t>
      </w:r>
      <w:r>
        <w:rPr>
          <w:rFonts w:hint="eastAsia" w:ascii="仿宋" w:hAnsi="仿宋" w:eastAsia="仿宋"/>
          <w:color w:val="000000" w:themeColor="text1"/>
          <w:sz w:val="32"/>
          <w:szCs w:val="32"/>
          <w:lang w:val="en-US" w:eastAsia="zh-CN"/>
          <w14:textFill>
            <w14:solidFill>
              <w14:schemeClr w14:val="tx1"/>
            </w14:solidFill>
          </w14:textFill>
        </w:rPr>
        <w:t>院方</w:t>
      </w:r>
      <w:r>
        <w:rPr>
          <w:rFonts w:hint="eastAsia" w:ascii="仿宋" w:hAnsi="仿宋" w:eastAsia="仿宋"/>
          <w:color w:val="000000" w:themeColor="text1"/>
          <w:sz w:val="32"/>
          <w:szCs w:val="32"/>
          <w14:textFill>
            <w14:solidFill>
              <w14:schemeClr w14:val="tx1"/>
            </w14:solidFill>
          </w14:textFill>
        </w:rPr>
        <w:t>人员进行</w:t>
      </w:r>
      <w:r>
        <w:rPr>
          <w:rFonts w:hint="eastAsia" w:ascii="仿宋" w:hAnsi="仿宋" w:eastAsia="仿宋"/>
          <w:color w:val="000000" w:themeColor="text1"/>
          <w:sz w:val="32"/>
          <w:szCs w:val="32"/>
          <w:lang w:val="en-US" w:eastAsia="zh-CN"/>
          <w14:textFill>
            <w14:solidFill>
              <w14:schemeClr w14:val="tx1"/>
            </w14:solidFill>
          </w14:textFill>
        </w:rPr>
        <w:t>每年不少于4次的</w:t>
      </w:r>
      <w:r>
        <w:rPr>
          <w:rFonts w:hint="eastAsia" w:ascii="仿宋" w:hAnsi="仿宋" w:eastAsia="仿宋"/>
          <w:color w:val="000000" w:themeColor="text1"/>
          <w:sz w:val="32"/>
          <w:szCs w:val="32"/>
          <w14:textFill>
            <w14:solidFill>
              <w14:schemeClr w14:val="tx1"/>
            </w14:solidFill>
          </w14:textFill>
        </w:rPr>
        <w:t>法律知识讲座</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培训</w:t>
      </w:r>
      <w:r>
        <w:rPr>
          <w:rFonts w:hint="eastAsia" w:ascii="仿宋" w:hAnsi="仿宋" w:eastAsia="仿宋"/>
          <w:color w:val="000000" w:themeColor="text1"/>
          <w:sz w:val="32"/>
          <w:szCs w:val="32"/>
          <w:lang w:val="en-US" w:eastAsia="zh-CN"/>
          <w14:textFill>
            <w14:solidFill>
              <w14:schemeClr w14:val="tx1"/>
            </w14:solidFill>
          </w14:textFill>
        </w:rPr>
        <w:t>等</w:t>
      </w:r>
      <w:r>
        <w:rPr>
          <w:rFonts w:hint="eastAsia" w:ascii="仿宋" w:hAnsi="仿宋" w:eastAsia="仿宋"/>
          <w:color w:val="000000" w:themeColor="text1"/>
          <w:sz w:val="32"/>
          <w:szCs w:val="32"/>
          <w14:textFill>
            <w14:solidFill>
              <w14:schemeClr w14:val="tx1"/>
            </w14:solidFill>
          </w14:textFill>
        </w:rPr>
        <w:t>，为</w:t>
      </w:r>
      <w:r>
        <w:rPr>
          <w:rFonts w:hint="eastAsia" w:ascii="仿宋" w:hAnsi="仿宋" w:eastAsia="仿宋"/>
          <w:color w:val="000000" w:themeColor="text1"/>
          <w:sz w:val="32"/>
          <w:szCs w:val="32"/>
          <w:lang w:val="en-US" w:eastAsia="zh-CN"/>
          <w14:textFill>
            <w14:solidFill>
              <w14:schemeClr w14:val="tx1"/>
            </w14:solidFill>
          </w14:textFill>
        </w:rPr>
        <w:t>院</w:t>
      </w:r>
      <w:r>
        <w:rPr>
          <w:rFonts w:hint="eastAsia" w:ascii="仿宋" w:hAnsi="仿宋" w:eastAsia="仿宋"/>
          <w:color w:val="000000" w:themeColor="text1"/>
          <w:sz w:val="32"/>
          <w:szCs w:val="32"/>
          <w14:textFill>
            <w14:solidFill>
              <w14:schemeClr w14:val="tx1"/>
            </w14:solidFill>
          </w14:textFill>
        </w:rPr>
        <w:t>方依法治</w:t>
      </w:r>
      <w:r>
        <w:rPr>
          <w:rFonts w:hint="eastAsia" w:ascii="仿宋" w:hAnsi="仿宋" w:eastAsia="仿宋"/>
          <w:color w:val="000000" w:themeColor="text1"/>
          <w:sz w:val="32"/>
          <w:szCs w:val="32"/>
          <w:lang w:val="en-US" w:eastAsia="zh-CN"/>
          <w14:textFill>
            <w14:solidFill>
              <w14:schemeClr w14:val="tx1"/>
            </w14:solidFill>
          </w14:textFill>
        </w:rPr>
        <w:t>院</w:t>
      </w:r>
      <w:r>
        <w:rPr>
          <w:rFonts w:hint="eastAsia" w:ascii="仿宋" w:hAnsi="仿宋" w:eastAsia="仿宋"/>
          <w:color w:val="000000" w:themeColor="text1"/>
          <w:sz w:val="32"/>
          <w:szCs w:val="32"/>
          <w14:textFill>
            <w14:solidFill>
              <w14:schemeClr w14:val="tx1"/>
            </w14:solidFill>
          </w14:textFill>
        </w:rPr>
        <w:t>提供法律指导。</w:t>
      </w:r>
    </w:p>
    <w:p w14:paraId="773E312F">
      <w:pPr>
        <w:spacing w:line="540" w:lineRule="exact"/>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lang w:val="en-US" w:eastAsia="zh-CN"/>
          <w14:textFill>
            <w14:solidFill>
              <w14:schemeClr w14:val="tx1"/>
            </w14:solidFill>
          </w14:textFill>
        </w:rPr>
        <w:t xml:space="preserve">   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1.5</w:t>
      </w:r>
      <w:r>
        <w:rPr>
          <w:rFonts w:hint="eastAsia" w:ascii="仿宋" w:hAnsi="仿宋" w:eastAsia="仿宋"/>
          <w:color w:val="000000" w:themeColor="text1"/>
          <w:sz w:val="32"/>
          <w:szCs w:val="32"/>
          <w14:textFill>
            <w14:solidFill>
              <w14:schemeClr w14:val="tx1"/>
            </w14:solidFill>
          </w14:textFill>
        </w:rPr>
        <w:t>接受采购人委托办理收购、兼并、改制、资产买卖、股权转让等非诉讼项目</w:t>
      </w:r>
      <w:r>
        <w:rPr>
          <w:rFonts w:hint="eastAsia" w:ascii="仿宋" w:hAnsi="仿宋" w:eastAsia="仿宋"/>
          <w:color w:val="000000" w:themeColor="text1"/>
          <w:sz w:val="32"/>
          <w:szCs w:val="32"/>
          <w:lang w:eastAsia="zh-CN"/>
          <w14:textFill>
            <w14:solidFill>
              <w14:schemeClr w14:val="tx1"/>
            </w14:solidFill>
          </w14:textFill>
        </w:rPr>
        <w:t>。</w:t>
      </w:r>
    </w:p>
    <w:p w14:paraId="2604572D">
      <w:pPr>
        <w:spacing w:line="540" w:lineRule="exact"/>
        <w:ind w:firstLine="64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1.6</w:t>
      </w:r>
      <w:r>
        <w:rPr>
          <w:rFonts w:hint="eastAsia" w:ascii="仿宋" w:hAnsi="仿宋" w:eastAsia="仿宋"/>
          <w:color w:val="000000" w:themeColor="text1"/>
          <w:sz w:val="32"/>
          <w:szCs w:val="32"/>
          <w14:textFill>
            <w14:solidFill>
              <w14:schemeClr w14:val="tx1"/>
            </w14:solidFill>
          </w14:textFill>
        </w:rPr>
        <w:t>对采购人防控</w:t>
      </w:r>
      <w:r>
        <w:rPr>
          <w:rFonts w:hint="eastAsia" w:ascii="仿宋" w:hAnsi="仿宋" w:eastAsia="仿宋"/>
          <w:color w:val="000000" w:themeColor="text1"/>
          <w:sz w:val="32"/>
          <w:szCs w:val="32"/>
          <w:lang w:val="en-US" w:eastAsia="zh-CN"/>
          <w14:textFill>
            <w14:solidFill>
              <w14:schemeClr w14:val="tx1"/>
            </w14:solidFill>
          </w14:textFill>
        </w:rPr>
        <w:t>医院</w:t>
      </w:r>
      <w:r>
        <w:rPr>
          <w:rFonts w:hint="eastAsia" w:ascii="仿宋" w:hAnsi="仿宋" w:eastAsia="仿宋"/>
          <w:color w:val="000000" w:themeColor="text1"/>
          <w:sz w:val="32"/>
          <w:szCs w:val="32"/>
          <w14:textFill>
            <w14:solidFill>
              <w14:schemeClr w14:val="tx1"/>
            </w14:solidFill>
          </w14:textFill>
        </w:rPr>
        <w:t>伤害事故等各类法律纠纷提供事前合理化建议及处置预案</w:t>
      </w:r>
      <w:r>
        <w:rPr>
          <w:rFonts w:hint="eastAsia" w:ascii="仿宋" w:hAnsi="仿宋" w:eastAsia="仿宋"/>
          <w:color w:val="000000" w:themeColor="text1"/>
          <w:sz w:val="32"/>
          <w:szCs w:val="32"/>
          <w:lang w:eastAsia="zh-CN"/>
          <w14:textFill>
            <w14:solidFill>
              <w14:schemeClr w14:val="tx1"/>
            </w14:solidFill>
          </w14:textFill>
        </w:rPr>
        <w:t>。</w:t>
      </w:r>
    </w:p>
    <w:p w14:paraId="73BB0C41">
      <w:pPr>
        <w:spacing w:line="54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1.7</w:t>
      </w:r>
      <w:r>
        <w:rPr>
          <w:rFonts w:hint="eastAsia" w:ascii="仿宋" w:hAnsi="仿宋" w:eastAsia="仿宋"/>
          <w:color w:val="000000" w:themeColor="text1"/>
          <w:sz w:val="32"/>
          <w:szCs w:val="32"/>
          <w14:textFill>
            <w14:solidFill>
              <w14:schemeClr w14:val="tx1"/>
            </w14:solidFill>
          </w14:textFill>
        </w:rPr>
        <w:t xml:space="preserve">对采购人业务伙伴、合作对象等进行合作前期的资信调查 </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仅限于工商资料</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 </w:t>
      </w:r>
    </w:p>
    <w:p w14:paraId="1EA6BFFE">
      <w:pPr>
        <w:spacing w:line="540" w:lineRule="exact"/>
        <w:ind w:firstLine="64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1.8</w:t>
      </w:r>
      <w:r>
        <w:rPr>
          <w:rFonts w:hint="eastAsia" w:ascii="仿宋" w:hAnsi="仿宋" w:eastAsia="仿宋"/>
          <w:color w:val="000000" w:themeColor="text1"/>
          <w:sz w:val="32"/>
          <w:szCs w:val="32"/>
          <w14:textFill>
            <w14:solidFill>
              <w14:schemeClr w14:val="tx1"/>
            </w14:solidFill>
          </w14:textFill>
        </w:rPr>
        <w:t>参加项目、商务谈判，提供法律咨询服务，审核准备谈判所需的各类法律文件</w:t>
      </w:r>
      <w:r>
        <w:rPr>
          <w:rFonts w:hint="eastAsia" w:ascii="仿宋" w:hAnsi="仿宋" w:eastAsia="仿宋"/>
          <w:color w:val="000000" w:themeColor="text1"/>
          <w:sz w:val="32"/>
          <w:szCs w:val="32"/>
          <w:lang w:eastAsia="zh-CN"/>
          <w14:textFill>
            <w14:solidFill>
              <w14:schemeClr w14:val="tx1"/>
            </w14:solidFill>
          </w14:textFill>
        </w:rPr>
        <w:t>。</w:t>
      </w:r>
    </w:p>
    <w:p w14:paraId="09A3EFC7">
      <w:pPr>
        <w:spacing w:line="54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1.9</w:t>
      </w:r>
      <w:r>
        <w:rPr>
          <w:rFonts w:hint="eastAsia" w:ascii="仿宋" w:hAnsi="仿宋" w:eastAsia="仿宋"/>
          <w:color w:val="000000" w:themeColor="text1"/>
          <w:sz w:val="32"/>
          <w:szCs w:val="32"/>
          <w14:textFill>
            <w14:solidFill>
              <w14:schemeClr w14:val="tx1"/>
            </w14:solidFill>
          </w14:textFill>
        </w:rPr>
        <w:t>协助采购人处理潜在的经济、债务纠纷或其他重大纠纷等</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         </w:t>
      </w:r>
    </w:p>
    <w:p w14:paraId="1F07A723">
      <w:pPr>
        <w:spacing w:line="540" w:lineRule="exact"/>
        <w:ind w:firstLine="64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1.10</w:t>
      </w:r>
      <w:r>
        <w:rPr>
          <w:rFonts w:hint="eastAsia" w:ascii="仿宋" w:hAnsi="仿宋" w:eastAsia="仿宋"/>
          <w:color w:val="000000" w:themeColor="text1"/>
          <w:sz w:val="32"/>
          <w:szCs w:val="32"/>
          <w14:textFill>
            <w14:solidFill>
              <w14:schemeClr w14:val="tx1"/>
            </w14:solidFill>
          </w14:textFill>
        </w:rPr>
        <w:t>应采购人要求以法律顾问名义作授权声明</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接受委托发送律师函</w:t>
      </w:r>
      <w:r>
        <w:rPr>
          <w:rFonts w:hint="eastAsia" w:ascii="仿宋" w:hAnsi="仿宋" w:eastAsia="仿宋"/>
          <w:color w:val="000000" w:themeColor="text1"/>
          <w:sz w:val="32"/>
          <w:szCs w:val="32"/>
          <w:lang w:eastAsia="zh-CN"/>
          <w14:textFill>
            <w14:solidFill>
              <w14:schemeClr w14:val="tx1"/>
            </w14:solidFill>
          </w14:textFill>
        </w:rPr>
        <w:t>；依据事实和法律在媒体发表律师声明。</w:t>
      </w:r>
    </w:p>
    <w:p w14:paraId="59D41A1C">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1.1.11每周委派不少于1名律师至甲方驻场半日，统一处理日常法律事务。（驻场律师原则上常驻，律师不能随意更换，因不可抗因素更换须与甲方提前沟通并取得甲方同意）</w:t>
      </w:r>
    </w:p>
    <w:p w14:paraId="361DF434">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1.1.12对于采购人提出非诉讼类咨询需求需在</w:t>
      </w:r>
      <w:r>
        <w:rPr>
          <w:rFonts w:hint="eastAsia" w:ascii="仿宋" w:hAnsi="仿宋" w:eastAsia="仿宋"/>
          <w:b/>
          <w:bCs/>
          <w:color w:val="000000" w:themeColor="text1"/>
          <w:sz w:val="32"/>
          <w:szCs w:val="32"/>
          <w:lang w:val="en-US" w:eastAsia="zh-CN"/>
          <w14:textFill>
            <w14:solidFill>
              <w14:schemeClr w14:val="tx1"/>
            </w14:solidFill>
          </w14:textFill>
        </w:rPr>
        <w:t>48小时内</w:t>
      </w:r>
      <w:r>
        <w:rPr>
          <w:rFonts w:hint="eastAsia" w:ascii="仿宋" w:hAnsi="仿宋" w:eastAsia="仿宋"/>
          <w:color w:val="000000" w:themeColor="text1"/>
          <w:sz w:val="32"/>
          <w:szCs w:val="32"/>
          <w:lang w:val="en-US" w:eastAsia="zh-CN"/>
          <w14:textFill>
            <w14:solidFill>
              <w14:schemeClr w14:val="tx1"/>
            </w14:solidFill>
          </w14:textFill>
        </w:rPr>
        <w:t>响应，按照采购人需求期限反馈咨询意见。</w:t>
      </w:r>
    </w:p>
    <w:p w14:paraId="42125196">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default" w:ascii="仿宋" w:hAnsi="仿宋" w:eastAsia="仿宋"/>
          <w:color w:val="000000" w:themeColor="text1"/>
          <w:sz w:val="32"/>
          <w:szCs w:val="32"/>
          <w:lang w:val="en-US" w:eastAsia="zh-CN"/>
          <w14:textFill>
            <w14:solidFill>
              <w14:schemeClr w14:val="tx1"/>
            </w14:solidFill>
          </w14:textFill>
        </w:rPr>
        <w:t>1.1.1</w:t>
      </w:r>
      <w:r>
        <w:rPr>
          <w:rFonts w:hint="eastAsia" w:ascii="仿宋" w:hAnsi="仿宋" w:eastAsia="仿宋"/>
          <w:color w:val="000000" w:themeColor="text1"/>
          <w:sz w:val="32"/>
          <w:szCs w:val="32"/>
          <w:lang w:val="en-US" w:eastAsia="zh-CN"/>
          <w14:textFill>
            <w14:solidFill>
              <w14:schemeClr w14:val="tx1"/>
            </w14:solidFill>
          </w14:textFill>
        </w:rPr>
        <w:t>3</w:t>
      </w:r>
      <w:r>
        <w:rPr>
          <w:rFonts w:hint="default" w:ascii="仿宋" w:hAnsi="仿宋" w:eastAsia="仿宋"/>
          <w:color w:val="000000" w:themeColor="text1"/>
          <w:sz w:val="32"/>
          <w:szCs w:val="32"/>
          <w:lang w:val="en-US" w:eastAsia="zh-CN"/>
          <w14:textFill>
            <w14:solidFill>
              <w14:schemeClr w14:val="tx1"/>
            </w14:solidFill>
          </w14:textFill>
        </w:rPr>
        <w:t>其他非诉讼</w:t>
      </w:r>
      <w:r>
        <w:rPr>
          <w:rFonts w:hint="eastAsia" w:ascii="仿宋" w:hAnsi="仿宋" w:eastAsia="仿宋"/>
          <w:color w:val="000000" w:themeColor="text1"/>
          <w:sz w:val="32"/>
          <w:szCs w:val="32"/>
          <w:lang w:val="en-US" w:eastAsia="zh-CN"/>
          <w14:textFill>
            <w14:solidFill>
              <w14:schemeClr w14:val="tx1"/>
            </w14:solidFill>
          </w14:textFill>
        </w:rPr>
        <w:t>类</w:t>
      </w:r>
      <w:r>
        <w:rPr>
          <w:rFonts w:hint="default" w:ascii="仿宋" w:hAnsi="仿宋" w:eastAsia="仿宋"/>
          <w:color w:val="000000" w:themeColor="text1"/>
          <w:sz w:val="32"/>
          <w:szCs w:val="32"/>
          <w:lang w:val="en-US" w:eastAsia="zh-CN"/>
          <w14:textFill>
            <w14:solidFill>
              <w14:schemeClr w14:val="tx1"/>
            </w14:solidFill>
          </w14:textFill>
        </w:rPr>
        <w:t>服务及价格</w:t>
      </w:r>
    </w:p>
    <w:p w14:paraId="6C270608">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default" w:ascii="仿宋" w:hAnsi="仿宋" w:eastAsia="仿宋"/>
          <w:color w:val="000000" w:themeColor="text1"/>
          <w:sz w:val="32"/>
          <w:szCs w:val="32"/>
          <w:lang w:val="en-US" w:eastAsia="zh-CN"/>
          <w14:textFill>
            <w14:solidFill>
              <w14:schemeClr w14:val="tx1"/>
            </w14:solidFill>
          </w14:textFill>
        </w:rPr>
        <w:t>根据采购人委托要求，结合实际情况需要，定制采购人所需法律服务内容，具体一事一议，收费</w:t>
      </w:r>
      <w:r>
        <w:rPr>
          <w:rFonts w:hint="eastAsia" w:ascii="仿宋" w:hAnsi="仿宋" w:eastAsia="仿宋"/>
          <w:color w:val="000000" w:themeColor="text1"/>
          <w:sz w:val="32"/>
          <w:szCs w:val="32"/>
          <w:lang w:val="en-US" w:eastAsia="zh-CN"/>
          <w14:textFill>
            <w14:solidFill>
              <w14:schemeClr w14:val="tx1"/>
            </w14:solidFill>
          </w14:textFill>
        </w:rPr>
        <w:t>均</w:t>
      </w:r>
      <w:r>
        <w:rPr>
          <w:rFonts w:hint="default" w:ascii="仿宋" w:hAnsi="仿宋" w:eastAsia="仿宋"/>
          <w:color w:val="000000" w:themeColor="text1"/>
          <w:sz w:val="32"/>
          <w:szCs w:val="32"/>
          <w:lang w:val="en-US" w:eastAsia="zh-CN"/>
          <w14:textFill>
            <w14:solidFill>
              <w14:schemeClr w14:val="tx1"/>
            </w14:solidFill>
          </w14:textFill>
        </w:rPr>
        <w:t>包含在非诉讼</w:t>
      </w:r>
      <w:r>
        <w:rPr>
          <w:rFonts w:hint="eastAsia" w:ascii="仿宋" w:hAnsi="仿宋" w:eastAsia="仿宋"/>
          <w:color w:val="000000" w:themeColor="text1"/>
          <w:sz w:val="32"/>
          <w:szCs w:val="32"/>
          <w:lang w:val="en-US" w:eastAsia="zh-CN"/>
          <w14:textFill>
            <w14:solidFill>
              <w14:schemeClr w14:val="tx1"/>
            </w14:solidFill>
          </w14:textFill>
        </w:rPr>
        <w:t>类</w:t>
      </w:r>
      <w:r>
        <w:rPr>
          <w:rFonts w:hint="default" w:ascii="仿宋" w:hAnsi="仿宋" w:eastAsia="仿宋"/>
          <w:color w:val="000000" w:themeColor="text1"/>
          <w:sz w:val="32"/>
          <w:szCs w:val="32"/>
          <w:lang w:val="en-US" w:eastAsia="zh-CN"/>
          <w14:textFill>
            <w14:solidFill>
              <w14:schemeClr w14:val="tx1"/>
            </w14:solidFill>
          </w14:textFill>
        </w:rPr>
        <w:t>服务</w:t>
      </w:r>
      <w:r>
        <w:rPr>
          <w:rFonts w:hint="eastAsia" w:ascii="仿宋" w:hAnsi="仿宋" w:eastAsia="仿宋"/>
          <w:color w:val="000000" w:themeColor="text1"/>
          <w:sz w:val="32"/>
          <w:szCs w:val="32"/>
          <w:lang w:val="en-US" w:eastAsia="zh-CN"/>
          <w14:textFill>
            <w14:solidFill>
              <w14:schemeClr w14:val="tx1"/>
            </w14:solidFill>
          </w14:textFill>
        </w:rPr>
        <w:t>费用</w:t>
      </w:r>
      <w:r>
        <w:rPr>
          <w:rFonts w:hint="default" w:ascii="仿宋" w:hAnsi="仿宋" w:eastAsia="仿宋"/>
          <w:color w:val="000000" w:themeColor="text1"/>
          <w:sz w:val="32"/>
          <w:szCs w:val="32"/>
          <w:lang w:val="en-US" w:eastAsia="zh-CN"/>
          <w14:textFill>
            <w14:solidFill>
              <w14:schemeClr w14:val="tx1"/>
            </w14:solidFill>
          </w14:textFill>
        </w:rPr>
        <w:t>之中。</w:t>
      </w:r>
    </w:p>
    <w:p w14:paraId="38385CC9">
      <w:pPr>
        <w:spacing w:line="540" w:lineRule="exact"/>
        <w:ind w:firstLine="640" w:firstLineChars="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b/>
          <w:bCs/>
          <w:color w:val="000000" w:themeColor="text1"/>
          <w:sz w:val="32"/>
          <w:szCs w:val="32"/>
          <w:lang w:val="en-US" w:eastAsia="zh-CN"/>
          <w14:textFill>
            <w14:solidFill>
              <w14:schemeClr w14:val="tx1"/>
            </w14:solidFill>
          </w14:textFill>
        </w:rPr>
        <w:t>1.2诉讼类服务</w:t>
      </w:r>
    </w:p>
    <w:p w14:paraId="41AE7363">
      <w:pPr>
        <w:spacing w:line="540" w:lineRule="exact"/>
        <w:ind w:firstLine="640"/>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根据采购人的委托</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参与代理采购人涉及的诉讼、仲裁、纠纷调解、复议、申诉等法律程序 </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该项所涉代理费用不包含在</w:t>
      </w:r>
      <w:r>
        <w:rPr>
          <w:rFonts w:hint="eastAsia" w:ascii="仿宋" w:hAnsi="仿宋" w:eastAsia="仿宋"/>
          <w:color w:val="000000" w:themeColor="text1"/>
          <w:sz w:val="32"/>
          <w:szCs w:val="32"/>
          <w:lang w:val="en-US" w:eastAsia="zh-CN"/>
          <w14:textFill>
            <w14:solidFill>
              <w14:schemeClr w14:val="tx1"/>
            </w14:solidFill>
          </w14:textFill>
        </w:rPr>
        <w:t>非诉讼类服务</w:t>
      </w:r>
      <w:r>
        <w:rPr>
          <w:rFonts w:hint="eastAsia" w:ascii="仿宋" w:hAnsi="仿宋" w:eastAsia="仿宋"/>
          <w:color w:val="000000" w:themeColor="text1"/>
          <w:sz w:val="32"/>
          <w:szCs w:val="32"/>
          <w14:textFill>
            <w14:solidFill>
              <w14:schemeClr w14:val="tx1"/>
            </w14:solidFill>
          </w14:textFill>
        </w:rPr>
        <w:t>费中</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lang w:eastAsia="zh-CN"/>
          <w14:textFill>
            <w14:solidFill>
              <w14:schemeClr w14:val="tx1"/>
            </w14:solidFill>
          </w14:textFill>
        </w:rPr>
        <w:t>。</w:t>
      </w:r>
    </w:p>
    <w:p w14:paraId="489075CA">
      <w:pPr>
        <w:spacing w:line="540" w:lineRule="exact"/>
        <w:ind w:firstLine="640" w:firstLineChars="20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1.2.1法律服务收费标准</w:t>
      </w:r>
    </w:p>
    <w:p w14:paraId="24571949">
      <w:pPr>
        <w:spacing w:line="540" w:lineRule="exact"/>
        <w:ind w:firstLine="640" w:firstLineChars="20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根据国家法律及相关地方性规定，并结合市场收费情况制定收费标准。</w:t>
      </w:r>
    </w:p>
    <w:p w14:paraId="48F5BD7B">
      <w:pPr>
        <w:spacing w:line="540" w:lineRule="exact"/>
        <w:ind w:firstLine="640"/>
        <w:rPr>
          <w:rFonts w:hint="default" w:ascii="仿宋" w:hAnsi="仿宋" w:eastAsia="仿宋"/>
          <w:color w:val="000000" w:themeColor="text1"/>
          <w:sz w:val="32"/>
          <w:szCs w:val="32"/>
          <w:lang w:val="en-US"/>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1.2.2 诉讼案件</w:t>
      </w:r>
    </w:p>
    <w:p w14:paraId="547E172A">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对于采购人可能发生的法律事务（包括但不限于合同纠纷、劳动人事争议、经济合作纠纷、行政争议等非医患之间引发的各类纠纷），按照《律师收费标准律师服务收费管理办法》规定，按照最低标准并给予优惠，以每个诉讼程序3000元/件标准收取律师代理费（即一审按3000元代理费、二审按3000元、涉及再审或者重新审理以此类推）。服务期限内单个案件（或一次性）服务费用2万—5万元（不含5万元），双方根据一案一委托的原则，另行协商；单个案件（或一次性）服务费5万元（含5万元）以上，根据甲方合同限额及采购规定另行确定代理服务采购方案。</w:t>
      </w:r>
    </w:p>
    <w:p w14:paraId="118CD01C">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stheme="minorBidi"/>
          <w:b w:val="0"/>
          <w:color w:val="auto"/>
          <w:kern w:val="2"/>
          <w:sz w:val="32"/>
          <w:szCs w:val="32"/>
          <w:lang w:val="en-US" w:eastAsia="zh-CN" w:bidi="ar-SA"/>
        </w:rPr>
        <w:t>每结算年度为采购人提供2次免费诉讼代理。</w:t>
      </w:r>
    </w:p>
    <w:p w14:paraId="214DE974">
      <w:pPr>
        <w:spacing w:line="540" w:lineRule="exac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b/>
          <w:bCs/>
          <w:color w:val="000000" w:themeColor="text1"/>
          <w:sz w:val="24"/>
          <w:szCs w:val="24"/>
          <w:lang w:val="en-US" w:eastAsia="zh-CN"/>
          <w14:textFill>
            <w14:solidFill>
              <w14:schemeClr w14:val="tx1"/>
            </w14:solidFill>
          </w14:textFill>
        </w:rPr>
        <w:t>注： 以上技术要求响应供应商 （服务商） 必须完全响应，否则响应无效。</w:t>
      </w:r>
    </w:p>
    <w:p w14:paraId="6CB56FAA">
      <w:pPr>
        <w:keepNext w:val="0"/>
        <w:keepLines w:val="0"/>
        <w:pageBreakBefore w:val="0"/>
        <w:widowControl w:val="0"/>
        <w:kinsoku/>
        <w:wordWrap/>
        <w:overflowPunct/>
        <w:topLinePunct w:val="0"/>
        <w:autoSpaceDE/>
        <w:autoSpaceDN/>
        <w:bidi w:val="0"/>
        <w:adjustRightInd/>
        <w:snapToGrid/>
        <w:spacing w:before="75" w:line="540" w:lineRule="exact"/>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pacing w:val="7"/>
          <w:sz w:val="30"/>
          <w:szCs w:val="30"/>
          <w:lang w:val="en-US" w:eastAsia="zh-CN"/>
          <w14:textOutline w14:w="4358" w14:cap="sq" w14:cmpd="sng">
            <w14:solidFill>
              <w14:srgbClr w14:val="000000"/>
            </w14:solidFill>
            <w14:prstDash w14:val="solid"/>
            <w14:bevel/>
          </w14:textOutline>
          <w14:textFill>
            <w14:solidFill>
              <w14:schemeClr w14:val="tx1"/>
            </w14:solidFill>
          </w14:textFill>
        </w:rPr>
        <w:t>2.商务需求</w:t>
      </w:r>
    </w:p>
    <w:p w14:paraId="08989348">
      <w:pPr>
        <w:spacing w:line="54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2.1</w:t>
      </w:r>
      <w:r>
        <w:rPr>
          <w:rFonts w:hint="eastAsia" w:ascii="仿宋" w:hAnsi="仿宋" w:eastAsia="仿宋"/>
          <w:color w:val="000000" w:themeColor="text1"/>
          <w:sz w:val="32"/>
          <w:szCs w:val="32"/>
          <w14:textFill>
            <w14:solidFill>
              <w14:schemeClr w14:val="tx1"/>
            </w14:solidFill>
          </w14:textFill>
        </w:rPr>
        <w:t>响应供应商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服务商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须提供符合文件要求的服务。</w:t>
      </w:r>
    </w:p>
    <w:p w14:paraId="680417D5">
      <w:pPr>
        <w:spacing w:line="54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2.2</w:t>
      </w:r>
      <w:r>
        <w:rPr>
          <w:rFonts w:hint="eastAsia" w:ascii="仿宋" w:hAnsi="仿宋" w:eastAsia="仿宋"/>
          <w:color w:val="000000" w:themeColor="text1"/>
          <w:sz w:val="32"/>
          <w:szCs w:val="32"/>
          <w14:textFill>
            <w14:solidFill>
              <w14:schemeClr w14:val="tx1"/>
            </w14:solidFill>
          </w14:textFill>
        </w:rPr>
        <w:t>供应商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服务商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所投产品的任何版权、专利等知识产权纠纷及责任由供应商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服务商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处理及承担，且不得损害采购人权益。</w:t>
      </w:r>
    </w:p>
    <w:p w14:paraId="664444DB">
      <w:pPr>
        <w:spacing w:line="540" w:lineRule="exact"/>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2.3</w:t>
      </w:r>
      <w:r>
        <w:rPr>
          <w:rFonts w:hint="eastAsia" w:ascii="仿宋" w:hAnsi="仿宋" w:eastAsia="仿宋"/>
          <w:color w:val="000000" w:themeColor="text1"/>
          <w:sz w:val="32"/>
          <w:szCs w:val="32"/>
          <w14:textFill>
            <w14:solidFill>
              <w14:schemeClr w14:val="tx1"/>
            </w14:solidFill>
          </w14:textFill>
        </w:rPr>
        <w:t xml:space="preserve">所提供服务的知识产权问题，由各响应供应商 </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服务商</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 xml:space="preserve"> 自行负责。</w:t>
      </w:r>
    </w:p>
    <w:p w14:paraId="329D7C85">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服务地点： 江西中医药大学附属医院指定地点。</w:t>
      </w:r>
    </w:p>
    <w:p w14:paraId="70E53242">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服务期限：三年，合同签订之日起一年一签。</w:t>
      </w:r>
    </w:p>
    <w:p w14:paraId="3CA8E56A">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付款方式：每个服务年度按照4个季度付款，每个季度结束后一个月为付款周期。</w:t>
      </w:r>
    </w:p>
    <w:p w14:paraId="7BF3F3B8">
      <w:pPr>
        <w:spacing w:line="540" w:lineRule="exact"/>
        <w:ind w:firstLine="64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报价要求：投标以人民币报价，完成本项目所需的各项费用、税款、技术服务费、采购代理服务费等所有费用，均应列入总报价。</w:t>
      </w:r>
    </w:p>
    <w:p w14:paraId="407F63A3">
      <w:pPr>
        <w:spacing w:line="540" w:lineRule="exact"/>
        <w:ind w:firstLine="640"/>
        <w:rPr>
          <w:rFonts w:ascii="宋体" w:hAnsi="宋体" w:eastAsia="宋体" w:cs="宋体"/>
          <w:color w:val="000000" w:themeColor="text1"/>
          <w:spacing w:val="11"/>
          <w:sz w:val="24"/>
          <w:szCs w:val="24"/>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验收要求：采购人使用部门对服务情况进行统计，供应商满6个月后向采购人使用部门提请正式验收。</w:t>
      </w:r>
    </w:p>
    <w:p w14:paraId="49663707">
      <w:pPr>
        <w:spacing w:line="540" w:lineRule="exact"/>
        <w:ind w:firstLine="640"/>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报价要求：供应商需在报价单中填写诉讼类服务每一审理程序的报价及非诉讼类服务每年报价（注：报价均不得超过控制价），并计算出预计每年费用和3年费用总和，所有分项报价使用同一折扣进行报价。</w:t>
      </w:r>
    </w:p>
    <w:tbl>
      <w:tblPr>
        <w:tblStyle w:val="10"/>
        <w:tblW w:w="9737" w:type="dxa"/>
        <w:tblInd w:w="-3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75"/>
        <w:gridCol w:w="1450"/>
        <w:gridCol w:w="1775"/>
        <w:gridCol w:w="1587"/>
        <w:gridCol w:w="1288"/>
        <w:gridCol w:w="1387"/>
      </w:tblGrid>
      <w:tr w14:paraId="0599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A4E963">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序号</w:t>
            </w:r>
          </w:p>
        </w:tc>
        <w:tc>
          <w:tcPr>
            <w:tcW w:w="1575" w:type="dxa"/>
          </w:tcPr>
          <w:p w14:paraId="67836A94">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项目</w:t>
            </w:r>
          </w:p>
        </w:tc>
        <w:tc>
          <w:tcPr>
            <w:tcW w:w="1450" w:type="dxa"/>
          </w:tcPr>
          <w:p w14:paraId="4AB6E25D">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预计每年审理程序次数</w:t>
            </w:r>
          </w:p>
        </w:tc>
        <w:tc>
          <w:tcPr>
            <w:tcW w:w="1775" w:type="dxa"/>
          </w:tcPr>
          <w:p w14:paraId="41655F29">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控制单价 （元/每一审理程序）</w:t>
            </w:r>
          </w:p>
        </w:tc>
        <w:tc>
          <w:tcPr>
            <w:tcW w:w="1587" w:type="dxa"/>
          </w:tcPr>
          <w:p w14:paraId="00650909">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每一审理程序报价（元）</w:t>
            </w:r>
          </w:p>
        </w:tc>
        <w:tc>
          <w:tcPr>
            <w:tcW w:w="1288" w:type="dxa"/>
          </w:tcPr>
          <w:p w14:paraId="1B7E7821">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1年费用报价（元）</w:t>
            </w:r>
          </w:p>
        </w:tc>
        <w:tc>
          <w:tcPr>
            <w:tcW w:w="1387" w:type="dxa"/>
          </w:tcPr>
          <w:p w14:paraId="0533D4A7">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3年费用合计（元）</w:t>
            </w:r>
          </w:p>
        </w:tc>
      </w:tr>
      <w:tr w14:paraId="44B8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3D6C2E">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1</w:t>
            </w:r>
          </w:p>
        </w:tc>
        <w:tc>
          <w:tcPr>
            <w:tcW w:w="1575" w:type="dxa"/>
          </w:tcPr>
          <w:p w14:paraId="78DBC10B">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诉讼类服务</w:t>
            </w:r>
          </w:p>
        </w:tc>
        <w:tc>
          <w:tcPr>
            <w:tcW w:w="1450" w:type="dxa"/>
          </w:tcPr>
          <w:p w14:paraId="53537EF3">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12</w:t>
            </w:r>
          </w:p>
        </w:tc>
        <w:tc>
          <w:tcPr>
            <w:tcW w:w="1775" w:type="dxa"/>
          </w:tcPr>
          <w:p w14:paraId="337597CE">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3000</w:t>
            </w:r>
          </w:p>
        </w:tc>
        <w:tc>
          <w:tcPr>
            <w:tcW w:w="1587" w:type="dxa"/>
          </w:tcPr>
          <w:p w14:paraId="646AF480">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p>
        </w:tc>
        <w:tc>
          <w:tcPr>
            <w:tcW w:w="1288" w:type="dxa"/>
          </w:tcPr>
          <w:p w14:paraId="3F66AD3A">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p>
        </w:tc>
        <w:tc>
          <w:tcPr>
            <w:tcW w:w="1387" w:type="dxa"/>
          </w:tcPr>
          <w:p w14:paraId="65E98E2A">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p>
        </w:tc>
      </w:tr>
      <w:tr w14:paraId="0413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top"/>
          </w:tcPr>
          <w:p w14:paraId="7D793200">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序号</w:t>
            </w:r>
          </w:p>
        </w:tc>
        <w:tc>
          <w:tcPr>
            <w:tcW w:w="1575" w:type="dxa"/>
            <w:vAlign w:val="top"/>
          </w:tcPr>
          <w:p w14:paraId="03239517">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项目</w:t>
            </w:r>
          </w:p>
        </w:tc>
        <w:tc>
          <w:tcPr>
            <w:tcW w:w="1450" w:type="dxa"/>
            <w:vAlign w:val="top"/>
          </w:tcPr>
          <w:p w14:paraId="552DF4F6">
            <w:pPr>
              <w:keepNext w:val="0"/>
              <w:keepLines w:val="0"/>
              <w:widowControl/>
              <w:suppressLineNumbers w:val="0"/>
              <w:spacing w:line="540" w:lineRule="exact"/>
              <w:ind w:firstLine="210" w:firstLineChars="100"/>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服务时间</w:t>
            </w:r>
          </w:p>
        </w:tc>
        <w:tc>
          <w:tcPr>
            <w:tcW w:w="1775" w:type="dxa"/>
            <w:vAlign w:val="top"/>
          </w:tcPr>
          <w:p w14:paraId="1F94B942">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控制价（元）</w:t>
            </w:r>
          </w:p>
        </w:tc>
        <w:tc>
          <w:tcPr>
            <w:tcW w:w="2875" w:type="dxa"/>
            <w:gridSpan w:val="2"/>
            <w:vAlign w:val="top"/>
          </w:tcPr>
          <w:p w14:paraId="427772E4">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1年费用报价（元）</w:t>
            </w:r>
          </w:p>
        </w:tc>
        <w:tc>
          <w:tcPr>
            <w:tcW w:w="1387" w:type="dxa"/>
            <w:vAlign w:val="top"/>
          </w:tcPr>
          <w:p w14:paraId="3C1AB111">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3年费用合计（元）</w:t>
            </w:r>
          </w:p>
        </w:tc>
      </w:tr>
      <w:tr w14:paraId="56F9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top"/>
          </w:tcPr>
          <w:p w14:paraId="20968C67">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1</w:t>
            </w:r>
          </w:p>
        </w:tc>
        <w:tc>
          <w:tcPr>
            <w:tcW w:w="1575" w:type="dxa"/>
            <w:vAlign w:val="top"/>
          </w:tcPr>
          <w:p w14:paraId="7F93788B">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非诉讼类服务</w:t>
            </w:r>
          </w:p>
        </w:tc>
        <w:tc>
          <w:tcPr>
            <w:tcW w:w="1450" w:type="dxa"/>
            <w:vAlign w:val="top"/>
          </w:tcPr>
          <w:p w14:paraId="386BB5D2">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一年</w:t>
            </w:r>
          </w:p>
        </w:tc>
        <w:tc>
          <w:tcPr>
            <w:tcW w:w="1775" w:type="dxa"/>
            <w:vAlign w:val="top"/>
          </w:tcPr>
          <w:p w14:paraId="7B1A80E7">
            <w:pPr>
              <w:keepNext w:val="0"/>
              <w:keepLines w:val="0"/>
              <w:widowControl/>
              <w:suppressLineNumbers w:val="0"/>
              <w:spacing w:line="540" w:lineRule="exact"/>
              <w:jc w:val="cente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t>60000</w:t>
            </w:r>
          </w:p>
        </w:tc>
        <w:tc>
          <w:tcPr>
            <w:tcW w:w="2875" w:type="dxa"/>
            <w:gridSpan w:val="2"/>
            <w:vAlign w:val="top"/>
          </w:tcPr>
          <w:p w14:paraId="21A660B2">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p>
        </w:tc>
        <w:tc>
          <w:tcPr>
            <w:tcW w:w="1387" w:type="dxa"/>
            <w:vAlign w:val="top"/>
          </w:tcPr>
          <w:p w14:paraId="38EEA954">
            <w:pPr>
              <w:keepNext w:val="0"/>
              <w:keepLines w:val="0"/>
              <w:widowControl/>
              <w:suppressLineNumbers w:val="0"/>
              <w:spacing w:line="540" w:lineRule="exact"/>
              <w:jc w:val="cente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p>
        </w:tc>
      </w:tr>
    </w:tbl>
    <w:p w14:paraId="544D93DC">
      <w:pPr>
        <w:keepNext w:val="0"/>
        <w:keepLines w:val="0"/>
        <w:widowControl/>
        <w:suppressLineNumbers w:val="0"/>
        <w:spacing w:line="540" w:lineRule="exact"/>
        <w:jc w:val="left"/>
        <w:rPr>
          <w:rFonts w:hint="default" w:ascii="宋体" w:hAnsi="宋体" w:eastAsia="宋体" w:cs="宋体"/>
          <w:color w:val="000000" w:themeColor="text1"/>
          <w:kern w:val="0"/>
          <w:sz w:val="24"/>
          <w:szCs w:val="24"/>
          <w:lang w:val="en-US" w:eastAsia="zh-CN" w:bidi="ar"/>
          <w14:textFill>
            <w14:solidFill>
              <w14:schemeClr w14:val="tx1"/>
            </w14:solidFill>
          </w14:textFill>
        </w:rPr>
      </w:pPr>
      <w:bookmarkStart w:id="0" w:name="_GoBack"/>
      <w:bookmarkEnd w:id="0"/>
    </w:p>
    <w:p w14:paraId="4F29C728">
      <w:pPr>
        <w:spacing w:line="540" w:lineRule="exact"/>
        <w:jc w:val="left"/>
        <w:rPr>
          <w:color w:val="000000" w:themeColor="text1"/>
          <w14:textFill>
            <w14:solidFill>
              <w14:schemeClr w14:val="tx1"/>
            </w14:solidFill>
          </w14:textFill>
        </w:rPr>
      </w:pPr>
      <w:r>
        <w:rPr>
          <w:rFonts w:hint="eastAsia" w:ascii="仿宋" w:hAnsi="仿宋" w:eastAsia="仿宋"/>
          <w:b/>
          <w:bCs/>
          <w:color w:val="000000" w:themeColor="text1"/>
          <w:sz w:val="24"/>
          <w:szCs w:val="24"/>
          <w:lang w:val="en-US" w:eastAsia="zh-CN"/>
          <w14:textFill>
            <w14:solidFill>
              <w14:schemeClr w14:val="tx1"/>
            </w14:solidFill>
          </w14:textFill>
        </w:rPr>
        <w:t>注：诉讼类服务费用以实际发生费用为准。</w:t>
      </w:r>
    </w:p>
    <w:sectPr>
      <w:headerReference r:id="rId3" w:type="default"/>
      <w:footerReference r:id="rId4" w:type="default"/>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988A51-857E-4166-B4BA-849B1CE7FC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AA693AB-38FB-410A-8F5E-837F1D28297E}"/>
  </w:font>
  <w:font w:name="楷体">
    <w:panose1 w:val="02010609060101010101"/>
    <w:charset w:val="86"/>
    <w:family w:val="modern"/>
    <w:pitch w:val="default"/>
    <w:sig w:usb0="800002BF" w:usb1="38CF7CFA" w:usb2="00000016" w:usb3="00000000" w:csb0="00040001" w:csb1="00000000"/>
    <w:embedRegular r:id="rId3" w:fontKey="{81C33FE9-7796-42B5-B583-8D2DC03517FA}"/>
  </w:font>
  <w:font w:name="仿宋">
    <w:panose1 w:val="02010609060101010101"/>
    <w:charset w:val="86"/>
    <w:family w:val="modern"/>
    <w:pitch w:val="default"/>
    <w:sig w:usb0="800002BF" w:usb1="38CF7CFA" w:usb2="00000016" w:usb3="00000000" w:csb0="00040001" w:csb1="00000000"/>
    <w:embedRegular r:id="rId4" w:fontKey="{FAB43325-A1FF-43A8-A278-658D550E1A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5007">
    <w:pPr>
      <w:spacing w:line="188" w:lineRule="auto"/>
      <w:ind w:left="4623"/>
      <w:rPr>
        <w:rFonts w:ascii="Calibri" w:hAnsi="Calibri" w:eastAsia="Calibri" w:cs="Calibri"/>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71706">
    <w:pPr>
      <w:spacing w:before="221" w:line="236" w:lineRule="auto"/>
      <w:ind w:left="813"/>
      <w:rPr>
        <w:rFonts w:ascii="楷体" w:hAnsi="楷体" w:eastAsia="楷体" w:cs="楷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yNzFjNjFhNTMyMDBmMWM0NzAyYzNjNjhiNWRjZGYifQ=="/>
  </w:docVars>
  <w:rsids>
    <w:rsidRoot w:val="29B27844"/>
    <w:rsid w:val="00061564"/>
    <w:rsid w:val="0013333A"/>
    <w:rsid w:val="001D191C"/>
    <w:rsid w:val="001D7E00"/>
    <w:rsid w:val="002321B8"/>
    <w:rsid w:val="0029516C"/>
    <w:rsid w:val="003C3C9F"/>
    <w:rsid w:val="003D059A"/>
    <w:rsid w:val="003D69ED"/>
    <w:rsid w:val="003F3DF3"/>
    <w:rsid w:val="0051545E"/>
    <w:rsid w:val="006460CD"/>
    <w:rsid w:val="00AB3590"/>
    <w:rsid w:val="00AD6B66"/>
    <w:rsid w:val="00DD71F3"/>
    <w:rsid w:val="00E94C42"/>
    <w:rsid w:val="00EA53D6"/>
    <w:rsid w:val="00FC687E"/>
    <w:rsid w:val="026907BB"/>
    <w:rsid w:val="0462437A"/>
    <w:rsid w:val="052A0B53"/>
    <w:rsid w:val="06CC1AD8"/>
    <w:rsid w:val="0854278F"/>
    <w:rsid w:val="09E13111"/>
    <w:rsid w:val="0ACA3D2F"/>
    <w:rsid w:val="0BBE07D9"/>
    <w:rsid w:val="0CAF3664"/>
    <w:rsid w:val="0D19318C"/>
    <w:rsid w:val="0F587009"/>
    <w:rsid w:val="0FBC1346"/>
    <w:rsid w:val="103534E9"/>
    <w:rsid w:val="10CB7366"/>
    <w:rsid w:val="13873A19"/>
    <w:rsid w:val="15E17F6A"/>
    <w:rsid w:val="161E6859"/>
    <w:rsid w:val="16C447CC"/>
    <w:rsid w:val="17F6116D"/>
    <w:rsid w:val="18AA5256"/>
    <w:rsid w:val="192F1B79"/>
    <w:rsid w:val="19446A50"/>
    <w:rsid w:val="1C273FEB"/>
    <w:rsid w:val="1C5E5533"/>
    <w:rsid w:val="1D7019C1"/>
    <w:rsid w:val="1F9B0448"/>
    <w:rsid w:val="1F9D6412"/>
    <w:rsid w:val="1FD004F5"/>
    <w:rsid w:val="20796DDF"/>
    <w:rsid w:val="20B32026"/>
    <w:rsid w:val="20D32AA3"/>
    <w:rsid w:val="22ED18EB"/>
    <w:rsid w:val="22FC3A68"/>
    <w:rsid w:val="2369299B"/>
    <w:rsid w:val="24C820E3"/>
    <w:rsid w:val="25341174"/>
    <w:rsid w:val="25594D30"/>
    <w:rsid w:val="25FD61DA"/>
    <w:rsid w:val="29564161"/>
    <w:rsid w:val="297D04E7"/>
    <w:rsid w:val="29B27844"/>
    <w:rsid w:val="29EA6657"/>
    <w:rsid w:val="2CCD64E8"/>
    <w:rsid w:val="2DCB65E9"/>
    <w:rsid w:val="2E8702D2"/>
    <w:rsid w:val="2FD44D8B"/>
    <w:rsid w:val="3106646D"/>
    <w:rsid w:val="31256B81"/>
    <w:rsid w:val="33330A31"/>
    <w:rsid w:val="339901DF"/>
    <w:rsid w:val="3518051D"/>
    <w:rsid w:val="358160C2"/>
    <w:rsid w:val="36E64063"/>
    <w:rsid w:val="37C60704"/>
    <w:rsid w:val="3A3A528E"/>
    <w:rsid w:val="3B113328"/>
    <w:rsid w:val="3B1B48C3"/>
    <w:rsid w:val="3C1D3C55"/>
    <w:rsid w:val="3CBC20D5"/>
    <w:rsid w:val="3D5F13DF"/>
    <w:rsid w:val="3EB62FA5"/>
    <w:rsid w:val="41165A40"/>
    <w:rsid w:val="41175B2C"/>
    <w:rsid w:val="4286740D"/>
    <w:rsid w:val="42B0277E"/>
    <w:rsid w:val="42DE4B54"/>
    <w:rsid w:val="439730E2"/>
    <w:rsid w:val="441873E5"/>
    <w:rsid w:val="44552577"/>
    <w:rsid w:val="449D3955"/>
    <w:rsid w:val="45C876FC"/>
    <w:rsid w:val="45CD0EAF"/>
    <w:rsid w:val="46FF32EA"/>
    <w:rsid w:val="47953C4F"/>
    <w:rsid w:val="47DB7BA1"/>
    <w:rsid w:val="484F5338"/>
    <w:rsid w:val="493B6225"/>
    <w:rsid w:val="4A4C0489"/>
    <w:rsid w:val="4AE66C9B"/>
    <w:rsid w:val="4B3D6AD7"/>
    <w:rsid w:val="4B9B2BEC"/>
    <w:rsid w:val="4C765DFD"/>
    <w:rsid w:val="4CC36B68"/>
    <w:rsid w:val="4DF31BF8"/>
    <w:rsid w:val="4F697E9B"/>
    <w:rsid w:val="50265D8C"/>
    <w:rsid w:val="535169D5"/>
    <w:rsid w:val="54575157"/>
    <w:rsid w:val="556214D0"/>
    <w:rsid w:val="56424FA2"/>
    <w:rsid w:val="56A30136"/>
    <w:rsid w:val="56C33AD5"/>
    <w:rsid w:val="582157B7"/>
    <w:rsid w:val="58631137"/>
    <w:rsid w:val="5A05392C"/>
    <w:rsid w:val="5C2F7D76"/>
    <w:rsid w:val="5CC87E1D"/>
    <w:rsid w:val="5D8365CC"/>
    <w:rsid w:val="5EA031AD"/>
    <w:rsid w:val="5F230131"/>
    <w:rsid w:val="5FBE2CB0"/>
    <w:rsid w:val="606F1138"/>
    <w:rsid w:val="613F0A5C"/>
    <w:rsid w:val="61AD4F07"/>
    <w:rsid w:val="61E95F50"/>
    <w:rsid w:val="632C443C"/>
    <w:rsid w:val="63FA6EBC"/>
    <w:rsid w:val="63FE69AC"/>
    <w:rsid w:val="650F56EB"/>
    <w:rsid w:val="66432D9C"/>
    <w:rsid w:val="66707909"/>
    <w:rsid w:val="6931512E"/>
    <w:rsid w:val="69A33491"/>
    <w:rsid w:val="6CC14A1B"/>
    <w:rsid w:val="6EC63E52"/>
    <w:rsid w:val="72A76461"/>
    <w:rsid w:val="73275266"/>
    <w:rsid w:val="747D391D"/>
    <w:rsid w:val="790A7749"/>
    <w:rsid w:val="796B3BCD"/>
    <w:rsid w:val="79AD215B"/>
    <w:rsid w:val="7A506FFB"/>
    <w:rsid w:val="7BB40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3"/>
    <w:qFormat/>
    <w:uiPriority w:val="0"/>
    <w:pPr>
      <w:jc w:val="left"/>
    </w:p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annotation subject"/>
    <w:basedOn w:val="4"/>
    <w:next w:val="4"/>
    <w:link w:val="14"/>
    <w:qFormat/>
    <w:uiPriority w:val="0"/>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qFormat/>
    <w:uiPriority w:val="0"/>
    <w:rPr>
      <w:sz w:val="21"/>
      <w:szCs w:val="21"/>
    </w:rPr>
  </w:style>
  <w:style w:type="character" w:customStyle="1" w:styleId="13">
    <w:name w:val="批注文字 Char"/>
    <w:basedOn w:val="11"/>
    <w:link w:val="4"/>
    <w:qFormat/>
    <w:uiPriority w:val="0"/>
    <w:rPr>
      <w:rFonts w:asciiTheme="minorHAnsi" w:hAnsiTheme="minorHAnsi" w:eastAsiaTheme="minorEastAsia" w:cstheme="minorBidi"/>
      <w:kern w:val="2"/>
      <w:sz w:val="21"/>
      <w:szCs w:val="24"/>
    </w:rPr>
  </w:style>
  <w:style w:type="character" w:customStyle="1" w:styleId="14">
    <w:name w:val="批注主题 Char"/>
    <w:basedOn w:val="13"/>
    <w:link w:val="8"/>
    <w:qFormat/>
    <w:uiPriority w:val="0"/>
    <w:rPr>
      <w:rFonts w:asciiTheme="minorHAnsi" w:hAnsiTheme="minorHAnsi" w:eastAsiaTheme="minorEastAsia" w:cstheme="minorBidi"/>
      <w:b/>
      <w:bCs/>
      <w:kern w:val="2"/>
      <w:sz w:val="21"/>
      <w:szCs w:val="24"/>
    </w:rPr>
  </w:style>
  <w:style w:type="character" w:customStyle="1" w:styleId="15">
    <w:name w:val="批注框文本 Char"/>
    <w:basedOn w:val="11"/>
    <w:link w:val="5"/>
    <w:qFormat/>
    <w:uiPriority w:val="0"/>
    <w:rPr>
      <w:rFonts w:asciiTheme="minorHAnsi" w:hAnsiTheme="minorHAnsi" w:eastAsiaTheme="minorEastAsia" w:cstheme="minorBidi"/>
      <w:kern w:val="2"/>
      <w:sz w:val="18"/>
      <w:szCs w:val="18"/>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论文正文"/>
    <w:basedOn w:val="1"/>
    <w:qFormat/>
    <w:uiPriority w:val="99"/>
    <w:pPr>
      <w:spacing w:line="360" w:lineRule="auto"/>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1878</Words>
  <Characters>1974</Characters>
  <Lines>124</Lines>
  <Paragraphs>35</Paragraphs>
  <TotalTime>192</TotalTime>
  <ScaleCrop>false</ScaleCrop>
  <LinksUpToDate>false</LinksUpToDate>
  <CharactersWithSpaces>2008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2022-03-07T07:53:00Z</dcterms:created>
  <dc:creator>Leo1387781085</dc:creator>
  <cp:lastModifiedBy>欧阳芳芳</cp:lastModifiedBy>
  <cp:lastPrinted>2026-09-09T08:35:00Z</cp:lastPrinted>
  <dcterms:modified xsi:type="dcterms:W3CDTF">2026-09-15T07:17:23Z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17CA0547FE954B43AB7BE6BEDFA753A9_13</vt:lpwstr>
  </property>
  <property fmtid="{D5CDD505-2E9C-101B-9397-08002B2CF9AE}" pid="4" name="KSOTemplateDocerSaveRecord">
    <vt:lpwstr>eyJoZGlkIjoiZGEyZjExNjUyNGU4OTI2ZDUwZGU3NzQ3NmViZjllYjQiLCJ1c2VySWQiOiIxNjYxNjc5MTMxIn0=</vt:lpwstr>
  </property>
</Properties>
</file>