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E2832">
      <w:pPr>
        <w:pStyle w:val="2"/>
        <w:spacing w:line="360" w:lineRule="auto"/>
        <w:jc w:val="center"/>
        <w:rPr>
          <w:rFonts w:hint="eastAsia" w:ascii="宋体" w:hAnsi="宋体" w:eastAsia="宋体" w:cs="宋体"/>
          <w:sz w:val="31"/>
          <w:szCs w:val="31"/>
          <w:lang w:eastAsia="zh-CN"/>
        </w:rPr>
      </w:pPr>
      <w:bookmarkStart w:id="0" w:name="_Toc14479"/>
      <w:bookmarkStart w:id="1" w:name="_Toc24211"/>
      <w:bookmarkStart w:id="2" w:name="_Toc15840"/>
      <w:r>
        <w:rPr>
          <w:rFonts w:hint="eastAsia" w:ascii="宋体" w:hAnsi="宋体" w:eastAsia="宋体" w:cs="宋体"/>
          <w:bCs/>
          <w:kern w:val="44"/>
          <w:sz w:val="28"/>
          <w:szCs w:val="28"/>
          <w:lang w:eastAsia="zh-CN"/>
        </w:rPr>
        <w:t>二、技术要求</w:t>
      </w:r>
      <w:bookmarkEnd w:id="0"/>
      <w:bookmarkEnd w:id="1"/>
      <w:bookmarkEnd w:id="2"/>
    </w:p>
    <w:p w14:paraId="007400E6">
      <w:pPr>
        <w:tabs>
          <w:tab w:val="left" w:pos="1463"/>
        </w:tabs>
        <w:rPr>
          <w:rFonts w:hint="eastAsia" w:ascii="宋体" w:hAnsi="宋体" w:eastAsia="宋体" w:cs="宋体"/>
          <w:b/>
          <w:bCs/>
          <w:lang w:eastAsia="zh-CN"/>
        </w:rPr>
      </w:pPr>
      <w:r>
        <w:rPr>
          <w:rFonts w:hint="eastAsia" w:ascii="宋体" w:hAnsi="宋体" w:eastAsia="宋体" w:cs="宋体"/>
          <w:b/>
          <w:bCs/>
          <w:lang w:eastAsia="zh-CN"/>
        </w:rPr>
        <w:t>1、产品技术要求</w:t>
      </w:r>
    </w:p>
    <w:tbl>
      <w:tblPr>
        <w:tblStyle w:val="6"/>
        <w:tblpPr w:leftFromText="180" w:rightFromText="180" w:vertAnchor="text" w:horzAnchor="page" w:tblpXSpec="center" w:tblpY="232"/>
        <w:tblOverlap w:val="never"/>
        <w:tblW w:w="96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5"/>
        <w:gridCol w:w="1423"/>
        <w:gridCol w:w="3818"/>
        <w:gridCol w:w="926"/>
        <w:gridCol w:w="1284"/>
        <w:gridCol w:w="1347"/>
      </w:tblGrid>
      <w:tr w14:paraId="12A10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0A8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序号</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783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材料名称</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0BF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产品参数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E5E5">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单位</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D0A8">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预计采购数量（3年）</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A4E8">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单价最高限价</w:t>
            </w:r>
          </w:p>
          <w:p w14:paraId="73B02AC4">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（人民币/元）</w:t>
            </w:r>
          </w:p>
        </w:tc>
      </w:tr>
      <w:tr w14:paraId="1953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11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0E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rPr>
                <w:rFonts w:hint="eastAsia" w:ascii="宋体" w:hAnsi="宋体" w:eastAsia="宋体" w:cs="宋体"/>
                <w:sz w:val="24"/>
                <w:szCs w:val="24"/>
                <w:lang w:val="en-US" w:eastAsia="zh-CN"/>
              </w:rPr>
            </w:pPr>
            <w:r>
              <w:t>常规耗材-组织包埋盒（激光适配）</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D7C6">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1、POM塑料材质。</w:t>
            </w:r>
          </w:p>
          <w:p w14:paraId="4E3E127D">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2、响应产品型号需为带盖产品。</w:t>
            </w:r>
          </w:p>
          <w:p w14:paraId="750CC340">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3、需有各种颜色可选（白色、黄色、绿色、蓝色、粉色等）。</w:t>
            </w:r>
          </w:p>
          <w:p w14:paraId="60CD50A2">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4、用于石蜡组织包埋。</w:t>
            </w:r>
          </w:p>
          <w:p w14:paraId="2ECBD263">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sz w:val="24"/>
                <w:szCs w:val="24"/>
                <w:lang w:val="en-US" w:eastAsia="zh-CN"/>
              </w:rPr>
            </w:pPr>
            <w:r>
              <w:rPr>
                <w:rFonts w:hint="eastAsia" w:ascii="宋体" w:hAnsi="宋体" w:eastAsia="宋体" w:cs="宋体"/>
                <w:b w:val="0"/>
                <w:i w:val="0"/>
                <w:iCs w:val="0"/>
                <w:color w:val="000000"/>
                <w:kern w:val="0"/>
                <w:sz w:val="24"/>
                <w:szCs w:val="24"/>
                <w:u w:val="none"/>
                <w:lang w:val="en-US" w:eastAsia="zh-CN" w:bidi="ar"/>
              </w:rPr>
              <w:t>5、适配市面上各种品牌的激光打号机。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8B14">
            <w:pPr>
              <w:kinsoku/>
              <w:autoSpaceDE/>
              <w:autoSpaceDN/>
              <w:adjustRightInd/>
              <w:snapToGrid/>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只</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10D9">
            <w:pPr>
              <w:widowControl w:val="0"/>
              <w:kinsoku/>
              <w:autoSpaceDE/>
              <w:autoSpaceDN/>
              <w:adjustRightInd/>
              <w:snapToGrid/>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150000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647F">
            <w:pPr>
              <w:widowControl w:val="0"/>
              <w:kinsoku/>
              <w:autoSpaceDE/>
              <w:autoSpaceDN/>
              <w:adjustRightInd/>
              <w:snapToGrid/>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0.33</w:t>
            </w:r>
          </w:p>
        </w:tc>
      </w:tr>
    </w:tbl>
    <w:p w14:paraId="4D07D487">
      <w:pPr>
        <w:spacing w:line="560" w:lineRule="exact"/>
        <w:jc w:val="left"/>
        <w:rPr>
          <w:rFonts w:hint="eastAsia" w:ascii="黑体" w:hAnsi="黑体" w:eastAsia="黑体"/>
          <w:b/>
          <w:bCs/>
          <w:sz w:val="24"/>
          <w:szCs w:val="24"/>
          <w:lang w:eastAsia="zh-CN"/>
        </w:rPr>
      </w:pPr>
    </w:p>
    <w:p w14:paraId="24B63002">
      <w:pPr>
        <w:tabs>
          <w:tab w:val="left" w:pos="1463"/>
        </w:tabs>
        <w:rPr>
          <w:rFonts w:hint="eastAsia" w:ascii="宋体" w:hAnsi="宋体" w:eastAsia="宋体" w:cs="宋体"/>
          <w:b/>
          <w:bCs/>
          <w:color w:val="000000"/>
          <w:highlight w:val="none"/>
          <w:lang w:val="en-US" w:eastAsia="zh-CN"/>
        </w:rPr>
      </w:pPr>
      <w:r>
        <w:rPr>
          <w:rFonts w:hint="eastAsia" w:ascii="宋体" w:hAnsi="宋体" w:eastAsia="宋体" w:cs="宋体"/>
          <w:b/>
          <w:bCs/>
          <w:color w:val="000000"/>
          <w:highlight w:val="none"/>
          <w:lang w:val="en-US" w:eastAsia="zh-CN"/>
        </w:rPr>
        <w:t>注：以上技术要求为必须满足项，否则作无效响应处理。</w:t>
      </w:r>
    </w:p>
    <w:p w14:paraId="73F5DF93">
      <w:pPr>
        <w:tabs>
          <w:tab w:val="left" w:pos="1463"/>
        </w:tabs>
        <w:ind w:firstLine="482" w:firstLineChars="200"/>
        <w:rPr>
          <w:rFonts w:hint="default" w:ascii="宋体" w:hAnsi="宋体" w:eastAsia="宋体" w:cs="宋体"/>
          <w:b/>
          <w:bCs/>
          <w:lang w:val="en-US" w:eastAsia="zh-CN"/>
        </w:rPr>
      </w:pPr>
      <w:r>
        <w:rPr>
          <w:rFonts w:hint="eastAsia" w:ascii="宋体" w:hAnsi="宋体" w:eastAsia="宋体" w:cs="宋体"/>
          <w:b/>
          <w:bCs/>
          <w:color w:val="000000"/>
          <w:highlight w:val="none"/>
          <w:lang w:val="en-US" w:eastAsia="zh-CN"/>
        </w:rPr>
        <w:t>以上采购数量为预计采购数量，合同采购期内不作为实际采购量。</w:t>
      </w:r>
    </w:p>
    <w:p w14:paraId="70CAEE1E">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（如有满足要求的多个型号可提供，需按照统一单价进行报价，具体规格型号可在分项报价表中注明）</w:t>
      </w:r>
    </w:p>
    <w:p w14:paraId="0AFFD17B">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本项目需提供样品。</w:t>
      </w:r>
      <w:r>
        <w:rPr>
          <w:rFonts w:hint="default" w:ascii="Times New Roman" w:hAnsi="Times New Roman" w:eastAsia="宋体" w:cs="Times New Roman"/>
          <w:b/>
          <w:bCs/>
          <w:sz w:val="24"/>
          <w:szCs w:val="24"/>
          <w:lang w:val="en-US" w:eastAsia="zh-CN"/>
        </w:rPr>
        <w:t>制造商及产品质量符合性评审：评分低于80分（＜80分），则视为符合性审查不通过。具体评审标准如下：</w:t>
      </w:r>
    </w:p>
    <w:p w14:paraId="319DD402">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eastAsia" w:ascii="Times New Roman" w:hAnsi="Times New Roman" w:eastAsia="宋体" w:cs="Times New Roman"/>
          <w:b/>
          <w:bCs/>
          <w:sz w:val="24"/>
          <w:szCs w:val="24"/>
          <w:lang w:val="en-US" w:eastAsia="zh-CN"/>
        </w:rPr>
      </w:pPr>
      <w:bookmarkStart w:id="3" w:name="_GoBack"/>
      <w:bookmarkEnd w:id="3"/>
    </w:p>
    <w:tbl>
      <w:tblPr>
        <w:tblStyle w:val="8"/>
        <w:tblW w:w="501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166"/>
        <w:gridCol w:w="1186"/>
      </w:tblGrid>
      <w:tr w14:paraId="223D6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6" w:hRule="atLeast"/>
        </w:trPr>
        <w:tc>
          <w:tcPr>
            <w:tcW w:w="4289" w:type="pct"/>
            <w:noWrap w:val="0"/>
            <w:vAlign w:val="center"/>
          </w:tcPr>
          <w:p w14:paraId="2BED26AF">
            <w:pPr>
              <w:pStyle w:val="3"/>
              <w:pageBreakBefore w:val="0"/>
              <w:wordWrap/>
              <w:overflowPunct/>
              <w:topLinePunct w:val="0"/>
              <w:bidi w:val="0"/>
              <w:spacing w:line="460" w:lineRule="exact"/>
              <w:ind w:left="0" w:leftChars="0" w:firstLine="0" w:firstLineChars="0"/>
              <w:jc w:val="center"/>
              <w:rPr>
                <w:rFonts w:hint="default" w:ascii="Times New Roman" w:hAnsi="Times New Roman" w:eastAsia="宋体" w:cs="Times New Roman"/>
                <w:b/>
                <w:bCs/>
                <w:snapToGrid w:val="0"/>
                <w:color w:val="000000"/>
                <w:spacing w:val="0"/>
                <w:kern w:val="0"/>
                <w:sz w:val="24"/>
                <w:szCs w:val="24"/>
                <w:lang w:val="en-US" w:eastAsia="zh-CN" w:bidi="ar-SA"/>
              </w:rPr>
            </w:pPr>
            <w:r>
              <w:rPr>
                <w:rFonts w:hint="default" w:ascii="Times New Roman" w:hAnsi="Times New Roman" w:eastAsia="宋体" w:cs="Times New Roman"/>
                <w:b/>
                <w:bCs/>
                <w:snapToGrid w:val="0"/>
                <w:color w:val="000000"/>
                <w:spacing w:val="0"/>
                <w:kern w:val="0"/>
                <w:sz w:val="24"/>
                <w:szCs w:val="24"/>
                <w:lang w:val="en-US" w:eastAsia="zh-CN" w:bidi="ar-SA"/>
              </w:rPr>
              <w:t>评审标准</w:t>
            </w:r>
          </w:p>
        </w:tc>
        <w:tc>
          <w:tcPr>
            <w:tcW w:w="710" w:type="pct"/>
            <w:noWrap w:val="0"/>
            <w:vAlign w:val="center"/>
          </w:tcPr>
          <w:p w14:paraId="0DB88FBE">
            <w:pPr>
              <w:pStyle w:val="3"/>
              <w:pageBreakBefore w:val="0"/>
              <w:wordWrap/>
              <w:overflowPunct/>
              <w:topLinePunct w:val="0"/>
              <w:bidi w:val="0"/>
              <w:spacing w:line="460" w:lineRule="exact"/>
              <w:ind w:left="0" w:leftChars="0" w:firstLine="0" w:firstLineChars="0"/>
              <w:jc w:val="center"/>
              <w:rPr>
                <w:rFonts w:hint="default" w:ascii="Times New Roman" w:hAnsi="Times New Roman" w:eastAsia="宋体" w:cs="Times New Roman"/>
                <w:b/>
                <w:bCs/>
                <w:snapToGrid w:val="0"/>
                <w:color w:val="000000"/>
                <w:spacing w:val="0"/>
                <w:kern w:val="0"/>
                <w:sz w:val="24"/>
                <w:szCs w:val="24"/>
                <w:lang w:val="en-US" w:eastAsia="zh-CN" w:bidi="ar-SA"/>
              </w:rPr>
            </w:pPr>
            <w:r>
              <w:rPr>
                <w:rFonts w:hint="default" w:ascii="Times New Roman" w:hAnsi="Times New Roman" w:eastAsia="宋体" w:cs="Times New Roman"/>
                <w:b/>
                <w:bCs/>
                <w:snapToGrid w:val="0"/>
                <w:color w:val="000000"/>
                <w:spacing w:val="0"/>
                <w:kern w:val="0"/>
                <w:sz w:val="24"/>
                <w:szCs w:val="24"/>
                <w:lang w:val="en-US" w:eastAsia="zh-CN" w:bidi="ar-SA"/>
              </w:rPr>
              <w:t>分值</w:t>
            </w:r>
          </w:p>
        </w:tc>
      </w:tr>
      <w:tr w14:paraId="4F3D9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1" w:hRule="atLeast"/>
        </w:trPr>
        <w:tc>
          <w:tcPr>
            <w:tcW w:w="4289" w:type="pct"/>
            <w:noWrap w:val="0"/>
            <w:vAlign w:val="center"/>
          </w:tcPr>
          <w:p w14:paraId="6398220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left"/>
              <w:textAlignment w:val="center"/>
              <w:rPr>
                <w:rFonts w:hint="default" w:ascii="Times New Roman" w:hAnsi="Times New Roman" w:eastAsia="宋体" w:cs="Times New Roman"/>
                <w:snapToGrid w:val="0"/>
                <w:color w:val="000000"/>
                <w:spacing w:val="0"/>
                <w:kern w:val="0"/>
                <w:sz w:val="24"/>
                <w:szCs w:val="24"/>
                <w:lang w:val="en-US" w:eastAsia="zh-CN" w:bidi="ar-SA"/>
              </w:rPr>
            </w:pPr>
            <w:r>
              <w:rPr>
                <w:rFonts w:hint="default" w:ascii="Times New Roman" w:hAnsi="Times New Roman" w:eastAsia="宋体" w:cs="Times New Roman"/>
                <w:snapToGrid w:val="0"/>
                <w:spacing w:val="0"/>
                <w:kern w:val="0"/>
                <w:sz w:val="24"/>
                <w:szCs w:val="24"/>
                <w:lang w:eastAsia="zh-CN" w:bidi="ar-SA"/>
              </w:rPr>
              <w:t>样品：由评标专家现场对货物样品的手感、感观效果、制作质量、工艺水 平等进行综合评价。</w:t>
            </w:r>
          </w:p>
          <w:p w14:paraId="0EA8384D">
            <w:pPr>
              <w:pStyle w:val="3"/>
              <w:pageBreakBefore w:val="0"/>
              <w:wordWrap/>
              <w:overflowPunct/>
              <w:topLinePunct w:val="0"/>
              <w:bidi w:val="0"/>
              <w:spacing w:line="460" w:lineRule="exact"/>
              <w:ind w:left="0" w:leftChars="0" w:firstLine="0" w:firstLineChars="0"/>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bCs/>
                <w:color w:val="000000"/>
                <w:kern w:val="0"/>
                <w:sz w:val="24"/>
                <w:szCs w:val="24"/>
                <w:lang w:val="en-US" w:eastAsia="zh-CN" w:bidi="en-US"/>
              </w:rPr>
              <w:t>(注：不同类型产品需分别提供样品，不同规格的同一类型产品，提供一个常用型号规格即可。所有样品需在外包装上注明投标单位，样品需密封，在开标截止时间前提交，否则不予接收，样品由采购代理机构封存，不予退回。)</w:t>
            </w:r>
          </w:p>
        </w:tc>
        <w:tc>
          <w:tcPr>
            <w:tcW w:w="710" w:type="pct"/>
            <w:noWrap w:val="0"/>
            <w:vAlign w:val="center"/>
          </w:tcPr>
          <w:p w14:paraId="2B948182">
            <w:pPr>
              <w:pStyle w:val="3"/>
              <w:pageBreakBefore w:val="0"/>
              <w:wordWrap/>
              <w:overflowPunct/>
              <w:topLinePunct w:val="0"/>
              <w:bidi w:val="0"/>
              <w:spacing w:line="460" w:lineRule="exact"/>
              <w:ind w:left="0" w:leftChars="0" w:firstLine="0" w:firstLineChars="0"/>
              <w:jc w:val="center"/>
              <w:rPr>
                <w:rFonts w:hint="default" w:ascii="Times New Roman" w:hAnsi="Times New Roman" w:eastAsia="宋体" w:cs="Times New Roman"/>
                <w:b/>
                <w:bCs/>
                <w:snapToGrid w:val="0"/>
                <w:color w:val="000000"/>
                <w:spacing w:val="0"/>
                <w:kern w:val="0"/>
                <w:sz w:val="24"/>
                <w:szCs w:val="24"/>
                <w:lang w:val="en-US" w:eastAsia="zh-CN" w:bidi="ar-SA"/>
              </w:rPr>
            </w:pPr>
            <w:r>
              <w:rPr>
                <w:rFonts w:hint="default" w:ascii="Times New Roman" w:hAnsi="Times New Roman" w:eastAsia="宋体" w:cs="Times New Roman"/>
                <w:b/>
                <w:bCs/>
                <w:snapToGrid w:val="0"/>
                <w:color w:val="000000"/>
                <w:spacing w:val="0"/>
                <w:kern w:val="0"/>
                <w:sz w:val="24"/>
                <w:szCs w:val="24"/>
                <w:lang w:val="en-US" w:eastAsia="zh-CN" w:bidi="ar-SA"/>
              </w:rPr>
              <w:t>0-100分</w:t>
            </w:r>
          </w:p>
        </w:tc>
      </w:tr>
    </w:tbl>
    <w:p w14:paraId="7C9998A3"/>
    <w:p w14:paraId="128EAC77">
      <w:pPr>
        <w:spacing w:line="560" w:lineRule="exact"/>
        <w:ind w:firstLine="482" w:firstLineChars="200"/>
        <w:jc w:val="left"/>
        <w:rPr>
          <w:rFonts w:hint="eastAsia" w:ascii="黑体" w:hAnsi="黑体" w:eastAsia="黑体"/>
          <w:b/>
          <w:bCs/>
          <w:sz w:val="24"/>
          <w:szCs w:val="24"/>
        </w:rPr>
      </w:pPr>
      <w:r>
        <w:rPr>
          <w:rFonts w:hint="eastAsia" w:ascii="黑体" w:hAnsi="黑体" w:eastAsia="黑体"/>
          <w:b/>
          <w:bCs/>
          <w:sz w:val="24"/>
          <w:szCs w:val="24"/>
        </w:rPr>
        <w:t>（2）商务要求</w:t>
      </w:r>
    </w:p>
    <w:p w14:paraId="75E8699C">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i w:val="0"/>
          <w:iCs/>
          <w:sz w:val="24"/>
          <w:szCs w:val="24"/>
          <w:u w:val="none"/>
        </w:rPr>
        <w:t>付款</w:t>
      </w:r>
      <w:r>
        <w:rPr>
          <w:rFonts w:hint="eastAsia" w:asciiTheme="minorEastAsia" w:hAnsiTheme="minorEastAsia" w:eastAsiaTheme="minorEastAsia" w:cstheme="minorEastAsia"/>
          <w:b w:val="0"/>
          <w:bCs/>
          <w:sz w:val="24"/>
          <w:szCs w:val="24"/>
          <w:highlight w:val="none"/>
        </w:rPr>
        <w:t>方式：</w:t>
      </w:r>
    </w:p>
    <w:p w14:paraId="21CFDB0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1、本合同价格为</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入库价，已包含所有费用（含产品费、运输费、装卸费以及各项适用的税金，及需要向其他方支付的有关专利权、版权、设计或其他知识产权等全部费用）。</w:t>
      </w:r>
    </w:p>
    <w:p w14:paraId="305B98F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本项目所有数量为预估数量，最终结算金额以实际发生数量为准。</w:t>
      </w:r>
      <w:r>
        <w:rPr>
          <w:rFonts w:hint="eastAsia" w:asciiTheme="minorEastAsia" w:hAnsiTheme="minorEastAsia" w:eastAsiaTheme="minorEastAsia" w:cstheme="minorEastAsia"/>
          <w:sz w:val="24"/>
          <w:szCs w:val="24"/>
          <w:highlight w:val="none"/>
        </w:rPr>
        <w:t>在</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正常供货且无质量等争议的情况下，方可执行付款。所供产品按实际采购金额结算后，由</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向</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提供全额增值税普通发票，</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凭发票等票据办理付款手续。</w:t>
      </w:r>
    </w:p>
    <w:p w14:paraId="4A0D2092">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2.交货期：</w:t>
      </w:r>
      <w:r>
        <w:rPr>
          <w:rFonts w:hint="eastAsia" w:asciiTheme="minorEastAsia" w:hAnsiTheme="minorEastAsia" w:eastAsiaTheme="minorEastAsia" w:cstheme="minorEastAsia"/>
          <w:sz w:val="24"/>
          <w:szCs w:val="24"/>
          <w:highlight w:val="none"/>
        </w:rPr>
        <w:t>所有货物按医院计划交货，在收到用户提交的计划采购清单后7个工作日内交货到指定的地点，并承担全部运输费用。如因乙方逾期供货给甲方临床医疗工作造成不良影响或者后果时，甲方可终止与乙方的所有供货业务关系。</w:t>
      </w:r>
    </w:p>
    <w:p w14:paraId="00D49CE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3.交货地点：</w:t>
      </w:r>
      <w:r>
        <w:rPr>
          <w:rFonts w:hint="eastAsia" w:asciiTheme="minorEastAsia" w:hAnsiTheme="minorEastAsia" w:eastAsiaTheme="minorEastAsia" w:cstheme="minorEastAsia"/>
          <w:sz w:val="24"/>
          <w:szCs w:val="24"/>
          <w:highlight w:val="none"/>
          <w:lang w:eastAsia="zh-CN"/>
        </w:rPr>
        <w:t>采购人指定地点。</w:t>
      </w:r>
    </w:p>
    <w:p w14:paraId="10643C2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4.合同时间：自合同签订之日起  3  年内，根据采购人要求完成供货及交付。 本项目供货期三年，合同结束时间以供货期或完成合同采购金额时间先到为准。从合同签订日期算起按实际采购金额结算。 在合同期间，由于集采等国家相关政策调整，无法按本合同条款执行时，将自动终止本合同部分或全部内容并严格按国家政策规定执行。</w:t>
      </w:r>
    </w:p>
    <w:p w14:paraId="70234702">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5.货物验收：货物运送至采购人指定的交货地点后，由供应商和采购人进行联合验收，在此期间如发现货物有破损，供应商应立即予以更换（费用由供应商承担）；到货数量以收货地点实际验收数量为准。</w:t>
      </w:r>
    </w:p>
    <w:p w14:paraId="7EDDB93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、质量保证 </w:t>
      </w:r>
    </w:p>
    <w:p w14:paraId="5BF7DD81">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.1 供应商所提供的货物必须为原生产厂家的全新产品，所供物资质量必须达到国家或部颁标准，严禁提供假冒伪劣产品，所投货物性能稳定，确保我院设备能正常使用，保证检验结果准确。</w:t>
      </w:r>
    </w:p>
    <w:p w14:paraId="7CF6B0D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.2 质保期：验收合格后一年。在规定的质保期内，供应商对所供产品由于制造或材料缺陷而发生的任何损失负责。 </w:t>
      </w:r>
    </w:p>
    <w:p w14:paraId="477A3C07">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.3 实际使用过程中如因产品原因出现异常情况，供应商应请厂家专家来江西中医药大学附属医院协助解决，一切费用由供应商负责。</w:t>
      </w:r>
    </w:p>
    <w:p w14:paraId="12AE1ED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.4实际使用过程中如因供应商提供货物造成设备的异常及损坏，所有损失由供应商承担。</w:t>
      </w:r>
    </w:p>
    <w:p w14:paraId="657000D4">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cstheme="minorEastAsia"/>
          <w:sz w:val="24"/>
          <w:szCs w:val="24"/>
          <w:highlight w:val="none"/>
          <w:lang w:val="en-US" w:eastAsia="zh-CN"/>
        </w:rPr>
        <w:t>参与</w:t>
      </w:r>
      <w:r>
        <w:rPr>
          <w:rFonts w:ascii="宋体" w:hAnsi="宋体" w:eastAsia="宋体" w:cs="宋体"/>
          <w:sz w:val="24"/>
          <w:szCs w:val="24"/>
        </w:rPr>
        <w:t>本</w:t>
      </w:r>
      <w:r>
        <w:rPr>
          <w:rFonts w:hint="eastAsia" w:asciiTheme="minorEastAsia" w:hAnsiTheme="minorEastAsia" w:eastAsiaTheme="minorEastAsia" w:cstheme="minorEastAsia"/>
          <w:color w:val="000000"/>
          <w:sz w:val="24"/>
          <w:szCs w:val="24"/>
          <w:highlight w:val="none"/>
          <w:lang w:eastAsia="zh-CN"/>
        </w:rPr>
        <w:t>项目</w:t>
      </w:r>
      <w:r>
        <w:rPr>
          <w:rFonts w:hint="eastAsia" w:asciiTheme="minorEastAsia" w:hAnsiTheme="minorEastAsia" w:cstheme="minorEastAsia"/>
          <w:color w:val="000000"/>
          <w:sz w:val="24"/>
          <w:szCs w:val="24"/>
          <w:highlight w:val="none"/>
          <w:lang w:val="en-US" w:eastAsia="zh-CN"/>
        </w:rPr>
        <w:t>产品属于</w:t>
      </w:r>
      <w:r>
        <w:rPr>
          <w:rFonts w:hint="eastAsia" w:asciiTheme="minorEastAsia" w:hAnsiTheme="minorEastAsia" w:eastAsiaTheme="minorEastAsia" w:cstheme="minorEastAsia"/>
          <w:color w:val="000000"/>
          <w:sz w:val="24"/>
          <w:szCs w:val="24"/>
          <w:highlight w:val="none"/>
          <w:lang w:eastAsia="zh-CN"/>
        </w:rPr>
        <w:t>江西省医保公共服务平台内</w:t>
      </w:r>
      <w:r>
        <w:rPr>
          <w:rFonts w:hint="eastAsia" w:asciiTheme="minorEastAsia" w:hAnsiTheme="minorEastAsia" w:cstheme="minorEastAsia"/>
          <w:color w:val="000000"/>
          <w:sz w:val="24"/>
          <w:szCs w:val="24"/>
          <w:highlight w:val="none"/>
          <w:lang w:val="en-US" w:eastAsia="zh-CN"/>
        </w:rPr>
        <w:t>的</w:t>
      </w:r>
      <w:r>
        <w:rPr>
          <w:rFonts w:hint="eastAsia" w:asciiTheme="minorEastAsia" w:hAnsiTheme="minorEastAsia" w:eastAsiaTheme="minorEastAsia" w:cstheme="minorEastAsia"/>
          <w:color w:val="000000"/>
          <w:sz w:val="24"/>
          <w:szCs w:val="24"/>
          <w:highlight w:val="none"/>
          <w:lang w:eastAsia="zh-CN"/>
        </w:rPr>
        <w:t>产品，须纳入</w:t>
      </w:r>
      <w:r>
        <w:rPr>
          <w:rFonts w:hint="eastAsia" w:asciiTheme="minorEastAsia" w:hAnsiTheme="minorEastAsia" w:eastAsiaTheme="minorEastAsia" w:cstheme="minorEastAsia"/>
          <w:b/>
          <w:bCs/>
          <w:color w:val="000000"/>
          <w:sz w:val="24"/>
          <w:szCs w:val="24"/>
          <w:highlight w:val="none"/>
          <w:lang w:eastAsia="zh-CN"/>
        </w:rPr>
        <w:t>江西药品和医用耗材招采管理系统</w:t>
      </w:r>
      <w:r>
        <w:rPr>
          <w:rFonts w:hint="eastAsia" w:asciiTheme="minorEastAsia" w:hAnsiTheme="minorEastAsia" w:eastAsiaTheme="minorEastAsia" w:cstheme="minorEastAsia"/>
          <w:color w:val="000000"/>
          <w:sz w:val="24"/>
          <w:szCs w:val="24"/>
          <w:highlight w:val="none"/>
          <w:lang w:eastAsia="zh-CN"/>
        </w:rPr>
        <w:t>挂网采购目录，且挂网状态为</w:t>
      </w:r>
      <w:r>
        <w:rPr>
          <w:rFonts w:hint="eastAsia" w:asciiTheme="minorEastAsia" w:hAnsiTheme="minorEastAsia" w:eastAsiaTheme="minorEastAsia" w:cstheme="minorEastAsia"/>
          <w:b/>
          <w:bCs/>
          <w:color w:val="000000"/>
          <w:sz w:val="24"/>
          <w:szCs w:val="24"/>
          <w:highlight w:val="none"/>
          <w:lang w:eastAsia="zh-CN"/>
        </w:rPr>
        <w:t>正在执行</w:t>
      </w:r>
      <w:r>
        <w:rPr>
          <w:rFonts w:hint="eastAsia" w:asciiTheme="minorEastAsia" w:hAnsiTheme="minorEastAsia" w:eastAsiaTheme="minorEastAsia" w:cstheme="minorEastAsia"/>
          <w:color w:val="000000"/>
          <w:sz w:val="24"/>
          <w:szCs w:val="24"/>
          <w:highlight w:val="none"/>
          <w:lang w:eastAsia="zh-CN"/>
        </w:rPr>
        <w:t>，并需提供平台内备案公示截图；已上报平台但未完成公示的产品，须提供相关产品平台上报凭证；平台内处于</w:t>
      </w:r>
      <w:r>
        <w:rPr>
          <w:rFonts w:hint="eastAsia" w:asciiTheme="minorEastAsia" w:hAnsiTheme="minorEastAsia" w:eastAsiaTheme="minorEastAsia" w:cstheme="minorEastAsia"/>
          <w:b/>
          <w:bCs/>
          <w:color w:val="000000"/>
          <w:sz w:val="24"/>
          <w:szCs w:val="24"/>
          <w:highlight w:val="none"/>
          <w:lang w:eastAsia="zh-CN"/>
        </w:rPr>
        <w:t>停止执行</w:t>
      </w:r>
      <w:r>
        <w:rPr>
          <w:rFonts w:hint="eastAsia" w:asciiTheme="minorEastAsia" w:hAnsiTheme="minorEastAsia" w:eastAsiaTheme="minorEastAsia" w:cstheme="minorEastAsia"/>
          <w:color w:val="000000"/>
          <w:sz w:val="24"/>
          <w:szCs w:val="24"/>
          <w:highlight w:val="none"/>
          <w:lang w:eastAsia="zh-CN"/>
        </w:rPr>
        <w:t>状态的产品，报名无效。</w:t>
      </w:r>
    </w:p>
    <w:p w14:paraId="5C2A9E82">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、供货标准及质量保证</w:t>
      </w:r>
    </w:p>
    <w:p w14:paraId="4E71B48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必须具有履行本合同全部义务所要求的资质和授权，必须向</w:t>
      </w:r>
      <w:r>
        <w:rPr>
          <w:rFonts w:hint="eastAsia" w:asciiTheme="minorEastAsia" w:hAnsiTheme="minorEastAsia" w:eastAsiaTheme="minorEastAsia" w:cstheme="minorEastAsia"/>
          <w:color w:val="000000"/>
          <w:sz w:val="24"/>
          <w:szCs w:val="24"/>
          <w:highlight w:val="none"/>
          <w:lang w:eastAsia="zh-CN"/>
        </w:rPr>
        <w:t>采购人</w:t>
      </w:r>
      <w:r>
        <w:rPr>
          <w:rFonts w:hint="eastAsia" w:asciiTheme="minorEastAsia" w:hAnsiTheme="minorEastAsia" w:eastAsiaTheme="minorEastAsia" w:cstheme="minorEastAsia"/>
          <w:color w:val="000000"/>
          <w:sz w:val="24"/>
          <w:szCs w:val="24"/>
          <w:highlight w:val="none"/>
        </w:rPr>
        <w:t>提供相关证书材料，包括但不限于：</w:t>
      </w:r>
      <w:r>
        <w:rPr>
          <w:rFonts w:hint="eastAsia" w:asciiTheme="minorEastAsia" w:hAnsiTheme="minorEastAsia" w:eastAsiaTheme="minorEastAsia" w:cstheme="minorEastAsia"/>
          <w:color w:val="000000"/>
          <w:sz w:val="24"/>
          <w:szCs w:val="24"/>
          <w:highlight w:val="none"/>
          <w:lang w:eastAsia="zh-CN"/>
        </w:rPr>
        <w:t>资格条件中要求所有材料</w:t>
      </w:r>
      <w:r>
        <w:rPr>
          <w:rFonts w:hint="eastAsia" w:asciiTheme="minorEastAsia" w:hAnsiTheme="minorEastAsia" w:eastAsiaTheme="minorEastAsia" w:cstheme="minorEastAsia"/>
          <w:color w:val="000000"/>
          <w:sz w:val="24"/>
          <w:szCs w:val="24"/>
          <w:highlight w:val="none"/>
        </w:rPr>
        <w:t>复印件，代理服务授权书、法人授权委托书、受委托人身份证复印件等相关材料并加盖单位公章。</w:t>
      </w:r>
    </w:p>
    <w:p w14:paraId="69B22FA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.2、供应商所提供的产品质量应符合国家有关监督管理部门的标准及行业标准，并与投标或者议价时所承诺的质量相一致，以确保临床使用安全有效。一旦发现不合格产品存在严重质量问题或安全隐患，</w:t>
      </w:r>
      <w:r>
        <w:rPr>
          <w:rFonts w:hint="eastAsia" w:asciiTheme="minorEastAsia" w:hAnsi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val="en-US" w:eastAsia="zh-CN"/>
        </w:rPr>
        <w:t>将对</w:t>
      </w:r>
      <w:r>
        <w:rPr>
          <w:rFonts w:hint="eastAsia" w:asciiTheme="minorEastAsia" w:hAnsi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lang w:val="en-US" w:eastAsia="zh-CN"/>
        </w:rPr>
        <w:t>处以1万元罚款,若不缴纳本合同自动终止。</w:t>
      </w:r>
    </w:p>
    <w:p w14:paraId="7C376B2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.3、采购人在接收产品时，如发现质量标准、有效期、包装和订单数量不符合要求的产品，有权拒绝接收；供应商应及时更换被拒绝的耗材产品，不得影响采购人临床使用。</w:t>
      </w:r>
    </w:p>
    <w:p w14:paraId="188F7AF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.其他要求：</w:t>
      </w:r>
    </w:p>
    <w:p w14:paraId="563079EA">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.1所提供产品必须具有在中国境内的合法使用权和用户保护权，符合国家有关监督管理部门规定的标准要求，如产生争议其责任由供应商全部承担。</w:t>
      </w:r>
    </w:p>
    <w:p w14:paraId="6B44A2E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.2提供产品均应按国家规定的标准进行包装，包装、标签、说明书符合国家标准。</w:t>
      </w:r>
    </w:p>
    <w:p w14:paraId="38080EC3">
      <w:pPr>
        <w:pStyle w:val="5"/>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8</w:t>
      </w:r>
      <w:r>
        <w:rPr>
          <w:rFonts w:hint="eastAsia" w:asciiTheme="minorEastAsia" w:hAnsiTheme="minorEastAsia" w:eastAsiaTheme="minorEastAsia" w:cstheme="minorEastAsia"/>
          <w:kern w:val="2"/>
          <w:sz w:val="24"/>
          <w:szCs w:val="24"/>
          <w:highlight w:val="none"/>
          <w:lang w:val="en-US" w:eastAsia="zh-CN" w:bidi="ar-SA"/>
        </w:rPr>
        <w:t>.3 供应商须在响应文件中承诺所投产品销售价格为全省最低价，未承诺视为无效响应。在合同期内，同品牌同规格同型号医用耗材的价格省内医院的价格低于采购人采购价，供应商应立即无条件告知采购人调价，并签订补充协议，如被发现不及时调整价格的将给于供应商1万元罚款，若不缴纳本合同自动终止。（响应文件中单独提供承诺函，格式详见：全省最低报价承诺书）。</w:t>
      </w:r>
    </w:p>
    <w:p w14:paraId="1B0F783F">
      <w:pPr>
        <w:pStyle w:val="5"/>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cstheme="minorEastAsia"/>
          <w:b/>
          <w:bCs/>
          <w:kern w:val="2"/>
          <w:sz w:val="24"/>
          <w:szCs w:val="24"/>
          <w:highlight w:val="none"/>
          <w:lang w:val="en-US" w:eastAsia="zh-CN" w:bidi="ar-SA"/>
        </w:rPr>
        <w:t>8.4 供应商购销廉洁承诺：本公司的法定代表人、执行董事、股东非江西中医药大学附属医院在岗职工；或与江西中医药大学附属医院在岗职工不存在配偶、直系亲属关系。供应商须在响应文件中承诺。（响应文件中单独提供承诺函，格式详见：</w:t>
      </w:r>
      <w:r>
        <w:rPr>
          <w:rFonts w:hint="eastAsia" w:ascii="宋体" w:hAnsi="宋体" w:eastAsia="黑体" w:cs="宋体"/>
          <w:b/>
          <w:lang w:eastAsia="zh-CN"/>
        </w:rPr>
        <w:t>格式</w:t>
      </w:r>
      <w:r>
        <w:rPr>
          <w:rFonts w:hint="eastAsia" w:ascii="宋体" w:hAnsi="宋体" w:eastAsia="宋体" w:cs="宋体"/>
          <w:b/>
          <w:lang w:val="en-US" w:eastAsia="zh-CN"/>
        </w:rPr>
        <w:t>8.4</w:t>
      </w:r>
      <w:r>
        <w:rPr>
          <w:rFonts w:hint="eastAsia" w:ascii="宋体" w:hAnsi="宋体" w:eastAsia="宋体" w:cs="宋体"/>
          <w:b/>
          <w:lang w:eastAsia="zh-CN"/>
        </w:rPr>
        <w:t xml:space="preserve">  </w:t>
      </w:r>
      <w:r>
        <w:rPr>
          <w:rFonts w:hint="eastAsia" w:asciiTheme="minorEastAsia" w:hAnsiTheme="minorEastAsia" w:cstheme="minorEastAsia"/>
          <w:b/>
          <w:bCs/>
          <w:kern w:val="2"/>
          <w:sz w:val="24"/>
          <w:szCs w:val="24"/>
          <w:highlight w:val="none"/>
          <w:lang w:val="en-US" w:eastAsia="zh-CN" w:bidi="ar-SA"/>
        </w:rPr>
        <w:t>购销廉洁承诺书）。</w:t>
      </w:r>
    </w:p>
    <w:p w14:paraId="01DD925A">
      <w:pPr>
        <w:pStyle w:val="5"/>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default"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cstheme="minorEastAsia"/>
          <w:b/>
          <w:bCs/>
          <w:kern w:val="2"/>
          <w:sz w:val="24"/>
          <w:szCs w:val="24"/>
          <w:highlight w:val="none"/>
          <w:lang w:val="en-US" w:eastAsia="zh-CN" w:bidi="ar-SA"/>
        </w:rPr>
        <w:t>8.5 供应商诚信承诺：本公司未被列入江西中医药大学附属医院、江西省卫生健康委员会失信名单。供应商须在响应文件中承诺。（响应文件中单独提供承诺函,格式详见：</w:t>
      </w:r>
      <w:r>
        <w:rPr>
          <w:rFonts w:hint="eastAsia" w:ascii="宋体" w:hAnsi="宋体" w:eastAsia="黑体" w:cs="宋体"/>
          <w:b/>
          <w:lang w:eastAsia="zh-CN"/>
        </w:rPr>
        <w:t>格式</w:t>
      </w:r>
      <w:r>
        <w:rPr>
          <w:rFonts w:hint="eastAsia" w:ascii="宋体" w:hAnsi="宋体" w:eastAsia="宋体" w:cs="宋体"/>
          <w:b/>
          <w:lang w:val="en-US" w:eastAsia="zh-CN"/>
        </w:rPr>
        <w:t>8.5</w:t>
      </w:r>
      <w:r>
        <w:rPr>
          <w:rFonts w:hint="eastAsia" w:ascii="宋体" w:hAnsi="宋体" w:eastAsia="宋体" w:cs="宋体"/>
          <w:b/>
          <w:lang w:eastAsia="zh-CN"/>
        </w:rPr>
        <w:t xml:space="preserve">  诚信承诺书</w:t>
      </w:r>
      <w:r>
        <w:rPr>
          <w:rFonts w:hint="eastAsia" w:asciiTheme="minorEastAsia" w:hAnsiTheme="minorEastAsia" w:cstheme="minorEastAsia"/>
          <w:b/>
          <w:bCs/>
          <w:kern w:val="2"/>
          <w:sz w:val="24"/>
          <w:szCs w:val="24"/>
          <w:highlight w:val="none"/>
          <w:lang w:val="en-US" w:eastAsia="zh-CN" w:bidi="ar-SA"/>
        </w:rPr>
        <w:t>）。</w:t>
      </w:r>
    </w:p>
    <w:p w14:paraId="3BA9B254">
      <w:pPr>
        <w:spacing w:line="560" w:lineRule="exact"/>
        <w:ind w:firstLine="482" w:firstLineChars="200"/>
        <w:jc w:val="left"/>
        <w:rPr>
          <w:rFonts w:hint="default" w:ascii="黑体" w:hAnsi="黑体" w:eastAsia="黑体" w:cs="黑体"/>
          <w:b/>
          <w:sz w:val="24"/>
          <w:szCs w:val="24"/>
          <w:lang w:val="en-US" w:eastAsia="zh-CN"/>
        </w:rPr>
      </w:pPr>
      <w:r>
        <w:rPr>
          <w:rFonts w:hint="eastAsia" w:asciiTheme="minorEastAsia" w:hAnsiTheme="minorEastAsia" w:eastAsiaTheme="minorEastAsia" w:cstheme="minorEastAsia"/>
          <w:b/>
          <w:bCs/>
          <w:sz w:val="24"/>
          <w:szCs w:val="24"/>
          <w:highlight w:val="none"/>
          <w:lang w:val="en-US" w:eastAsia="zh-CN"/>
        </w:rPr>
        <w:t>注：以上商务要求为必须满足项，否则作无效响应处理。</w:t>
      </w:r>
    </w:p>
    <w:p w14:paraId="633AFCD8">
      <w:pPr>
        <w:jc w:val="both"/>
        <w:rPr>
          <w:rFonts w:ascii="宋体" w:hAnsi="宋体" w:eastAsia="宋体" w:cs="宋体"/>
          <w:b/>
          <w:lang w:eastAsia="zh-CN"/>
        </w:rPr>
      </w:pPr>
      <w:r>
        <w:rPr>
          <w:rFonts w:hint="eastAsia" w:ascii="宋体" w:hAnsi="宋体" w:eastAsia="黑体" w:cs="宋体"/>
          <w:b/>
          <w:lang w:eastAsia="zh-CN"/>
        </w:rPr>
        <w:t>格式</w:t>
      </w:r>
      <w:r>
        <w:rPr>
          <w:rFonts w:hint="eastAsia" w:ascii="宋体" w:hAnsi="宋体" w:eastAsia="宋体" w:cs="宋体"/>
          <w:b/>
          <w:lang w:val="en-US" w:eastAsia="zh-CN"/>
        </w:rPr>
        <w:t>8.4</w:t>
      </w:r>
      <w:r>
        <w:rPr>
          <w:rFonts w:hint="eastAsia" w:ascii="宋体" w:hAnsi="宋体" w:eastAsia="宋体" w:cs="宋体"/>
          <w:b/>
          <w:lang w:eastAsia="zh-CN"/>
        </w:rPr>
        <w:t xml:space="preserve">                </w:t>
      </w:r>
    </w:p>
    <w:p w14:paraId="65D3B495">
      <w:pPr>
        <w:jc w:val="center"/>
        <w:rPr>
          <w:rFonts w:ascii="仿宋" w:hAnsi="仿宋" w:eastAsia="仿宋" w:cs="仿宋"/>
          <w:b/>
          <w:bCs/>
          <w:kern w:val="2"/>
          <w:sz w:val="44"/>
          <w:szCs w:val="44"/>
          <w:lang w:eastAsia="zh-CN" w:bidi="ar-SA"/>
        </w:rPr>
      </w:pPr>
      <w:r>
        <w:rPr>
          <w:rFonts w:hint="eastAsia" w:ascii="仿宋" w:hAnsi="仿宋" w:eastAsia="仿宋" w:cs="仿宋"/>
          <w:b/>
          <w:bCs/>
          <w:kern w:val="2"/>
          <w:sz w:val="44"/>
          <w:szCs w:val="44"/>
          <w:lang w:eastAsia="zh-CN" w:bidi="ar-SA"/>
        </w:rPr>
        <w:t>购销廉洁承诺书</w:t>
      </w:r>
    </w:p>
    <w:p w14:paraId="43797D66">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甲方(采购部门)：江西中医药大学附属医院</w:t>
      </w:r>
    </w:p>
    <w:p w14:paraId="2C8EE0B0">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乙方(承诺单位)：</w:t>
      </w:r>
    </w:p>
    <w:p w14:paraId="68312CAE">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为进一步加强医院卫生行业作风建设，规范医疗器械、医用耗材和医疗设备购销行为，坚决纠正医疗服务和购销领域不正之风，营造公平交易、风清气正的购销环境，维护广大人民群众切身利益，根据医疗卫生行业作风建设相关文件精神，本着平等协商原则，双方签订购销廉洁承诺书如下:</w:t>
      </w:r>
    </w:p>
    <w:p w14:paraId="1ED5ECF2">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一、双方严格遵守国家有关购销的政策、法律法规，按照购销工作政策、法律法规和医院采购工作规定、程序和流程要求，遵循公开、公平、公正和诚实守信的原则，确保购进的货物、服务及实施的项目质量优良、价格适中、服务优良，遏制采购环节的不正之风，自觉接受全院职工、上级招采主管部门和全社会的监督。</w:t>
      </w:r>
    </w:p>
    <w:p w14:paraId="190F402C">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二、甲方向乙方采购医疗器械、医用耗材和医疗设备等物资，乙方不得向甲方工作人员实施不利于廉洁自律的宴请、回扣、提成费、有价证券、贵重物品、在学术活动中提供旅游和超标准支付食宿费用等行为，否则视为违反合约并承担违约责任。一旦查实乙方在向甲方供应医疗器械、医用耗材和医疗设备时，采用以上手段销售行为，甲方有权立即解除销售合同，停止业务往来，情节严重者将提请有关部门追究其法律责任。</w:t>
      </w:r>
    </w:p>
    <w:p w14:paraId="61A83E8C">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三、如果甲方工作人员向乙方暗示或索要宴请、回扣、提成费、有价证券、贵重物品、在学术活动中提供旅游和超标准支付食宿费用等不正当要求，乙方应该拒绝，并如实、提供证据向医院监督检查室反映。举报电话：0791-86208070(监督检查室)。举报属实，甲方将按照医院、上级有关规定对其工作人员视情节轻重进行处理。甲方工作人员被迫接收乙方赠送的钱物，应立即退还;无法当场退还的，应在规定时间内如实向监督检查室反映情况、上缴所收钱物。</w:t>
      </w:r>
    </w:p>
    <w:p w14:paraId="6CFAAAA0">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四、严禁甲方工作人员采用任何方式、利用任何途径，为乙方统计医师个人、治疗组或科室有关医药产品用量信息提供便利和数据。</w:t>
      </w:r>
    </w:p>
    <w:p w14:paraId="5B7D55FA">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五、严禁乙方法定代表人、执行董事、股东为医院在岗职工；或与医院在岗职工存在配偶、直系亲属关系。</w:t>
      </w:r>
    </w:p>
    <w:p w14:paraId="07B93621">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六、欢迎各医药企业在我院开展各种形式的学术活动，但必须与医院有关部门取得联系，医院将全力配合开展学术活动。</w:t>
      </w:r>
    </w:p>
    <w:p w14:paraId="2281618F">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七、乙方应该按照国家或联盟集中带量采购、省市招采的有关品种、价格、时效规定履约，按照中标合同和采购计划履约，验收后及时将销售凭证递交医学装备部办理入库，违反规定或递交不及时造成的处罚由供货企业承担。</w:t>
      </w:r>
    </w:p>
    <w:p w14:paraId="5DCBBD38">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八、自觉履行廉政共建双方的责任和义务，本承诺书作为医疗器械、医用耗材和医疗设备产品购销合同的重要组成部分，与购销合同一并执行，具有同等的法律效力。</w:t>
      </w:r>
    </w:p>
    <w:p w14:paraId="01DD99F1">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特此承诺！</w:t>
      </w:r>
    </w:p>
    <w:p w14:paraId="4136C343">
      <w:pPr>
        <w:spacing w:line="560" w:lineRule="exact"/>
        <w:jc w:val="both"/>
        <w:rPr>
          <w:rFonts w:ascii="仿宋" w:hAnsi="仿宋" w:eastAsia="仿宋" w:cs="仿宋"/>
          <w:kern w:val="2"/>
          <w:sz w:val="28"/>
          <w:szCs w:val="28"/>
          <w:lang w:eastAsia="zh-CN" w:bidi="ar-SA"/>
        </w:rPr>
      </w:pPr>
      <w:r>
        <w:rPr>
          <w:rFonts w:hint="eastAsia" w:ascii="仿宋" w:hAnsi="仿宋" w:eastAsia="仿宋" w:cs="仿宋"/>
          <w:spacing w:val="80"/>
          <w:kern w:val="0"/>
          <w:sz w:val="28"/>
          <w:szCs w:val="28"/>
          <w:fitText w:val="1600" w:id="1238779765"/>
          <w:lang w:eastAsia="zh-CN" w:bidi="ar-SA"/>
        </w:rPr>
        <w:t>承诺单</w:t>
      </w:r>
      <w:r>
        <w:rPr>
          <w:rFonts w:hint="eastAsia" w:ascii="仿宋" w:hAnsi="仿宋" w:eastAsia="仿宋" w:cs="仿宋"/>
          <w:spacing w:val="0"/>
          <w:kern w:val="0"/>
          <w:sz w:val="28"/>
          <w:szCs w:val="28"/>
          <w:fitText w:val="1600" w:id="1238779765"/>
          <w:lang w:eastAsia="zh-CN" w:bidi="ar-SA"/>
        </w:rPr>
        <w:t>位</w:t>
      </w:r>
      <w:r>
        <w:rPr>
          <w:rFonts w:hint="eastAsia" w:ascii="仿宋" w:hAnsi="仿宋" w:eastAsia="仿宋" w:cs="仿宋"/>
          <w:kern w:val="2"/>
          <w:sz w:val="28"/>
          <w:szCs w:val="28"/>
          <w:lang w:eastAsia="zh-CN" w:bidi="ar-SA"/>
        </w:rPr>
        <w:t>：</w:t>
      </w:r>
    </w:p>
    <w:p w14:paraId="2CC83ED7">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法定代表人：</w:t>
      </w:r>
    </w:p>
    <w:p w14:paraId="44C14668">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授权代表人：</w:t>
      </w:r>
    </w:p>
    <w:p w14:paraId="5AE39ED5">
      <w:pPr>
        <w:spacing w:line="560" w:lineRule="exact"/>
        <w:jc w:val="both"/>
        <w:rPr>
          <w:rFonts w:ascii="仿宋" w:hAnsi="仿宋" w:eastAsia="仿宋" w:cs="仿宋"/>
          <w:kern w:val="2"/>
          <w:sz w:val="28"/>
          <w:szCs w:val="28"/>
          <w:lang w:eastAsia="zh-CN" w:bidi="ar-SA"/>
        </w:rPr>
      </w:pPr>
    </w:p>
    <w:p w14:paraId="34F6E94F">
      <w:pPr>
        <w:spacing w:line="560" w:lineRule="exact"/>
        <w:ind w:firstLine="1680" w:firstLineChars="600"/>
        <w:jc w:val="both"/>
        <w:rPr>
          <w:rFonts w:ascii="仿宋" w:hAnsi="仿宋" w:eastAsia="仿宋" w:cs="仿宋"/>
          <w:kern w:val="2"/>
          <w:sz w:val="32"/>
          <w:szCs w:val="32"/>
          <w:lang w:eastAsia="zh-CN" w:bidi="ar-SA"/>
        </w:rPr>
      </w:pPr>
      <w:r>
        <w:rPr>
          <w:rFonts w:hint="eastAsia" w:ascii="仿宋" w:hAnsi="仿宋" w:eastAsia="仿宋" w:cs="仿宋"/>
          <w:sz w:val="28"/>
          <w:szCs w:val="28"/>
          <w:lang w:eastAsia="zh-CN" w:bidi="ar-SA"/>
        </w:rPr>
        <w:t xml:space="preserve">       </w:t>
      </w:r>
      <w:r>
        <w:rPr>
          <w:rFonts w:hint="eastAsia" w:ascii="仿宋" w:hAnsi="仿宋" w:eastAsia="仿宋" w:cs="仿宋"/>
          <w:spacing w:val="520"/>
          <w:kern w:val="0"/>
          <w:sz w:val="28"/>
          <w:szCs w:val="28"/>
          <w:fitText w:val="1600" w:id="48373320"/>
          <w:lang w:eastAsia="zh-CN" w:bidi="ar-SA"/>
        </w:rPr>
        <w:t>日</w:t>
      </w:r>
      <w:r>
        <w:rPr>
          <w:rFonts w:hint="eastAsia" w:ascii="仿宋" w:hAnsi="仿宋" w:eastAsia="仿宋" w:cs="仿宋"/>
          <w:spacing w:val="0"/>
          <w:kern w:val="0"/>
          <w:sz w:val="28"/>
          <w:szCs w:val="28"/>
          <w:fitText w:val="1600" w:id="48373320"/>
          <w:lang w:eastAsia="zh-CN" w:bidi="ar-SA"/>
        </w:rPr>
        <w:t>期</w:t>
      </w:r>
      <w:r>
        <w:rPr>
          <w:rFonts w:hint="eastAsia" w:ascii="仿宋" w:hAnsi="仿宋" w:eastAsia="仿宋" w:cs="仿宋"/>
          <w:kern w:val="2"/>
          <w:sz w:val="28"/>
          <w:szCs w:val="28"/>
          <w:lang w:eastAsia="zh-CN" w:bidi="ar-SA"/>
        </w:rPr>
        <w:t>：    年   月   日</w:t>
      </w:r>
    </w:p>
    <w:p w14:paraId="541FBAF5">
      <w:pPr>
        <w:jc w:val="both"/>
        <w:rPr>
          <w:rFonts w:ascii="宋体" w:hAnsi="宋体" w:eastAsia="宋体" w:cs="宋体"/>
          <w:b/>
          <w:lang w:eastAsia="zh-CN"/>
        </w:rPr>
      </w:pPr>
      <w:r>
        <w:rPr>
          <w:rFonts w:hint="eastAsia" w:ascii="宋体" w:hAnsi="宋体" w:eastAsia="黑体" w:cs="宋体"/>
          <w:b/>
          <w:lang w:eastAsia="zh-CN"/>
        </w:rPr>
        <w:br w:type="page"/>
      </w:r>
      <w:r>
        <w:rPr>
          <w:rFonts w:hint="eastAsia" w:ascii="宋体" w:hAnsi="宋体" w:eastAsia="黑体" w:cs="宋体"/>
          <w:b/>
          <w:lang w:eastAsia="zh-CN"/>
        </w:rPr>
        <w:t>格式</w:t>
      </w:r>
      <w:r>
        <w:rPr>
          <w:rFonts w:hint="eastAsia" w:ascii="宋体" w:hAnsi="宋体" w:eastAsia="宋体" w:cs="宋体"/>
          <w:b/>
          <w:lang w:val="en-US" w:eastAsia="zh-CN"/>
        </w:rPr>
        <w:t>8.5</w:t>
      </w:r>
      <w:r>
        <w:rPr>
          <w:rFonts w:hint="eastAsia" w:ascii="宋体" w:hAnsi="宋体" w:eastAsia="宋体" w:cs="宋体"/>
          <w:b/>
          <w:lang w:eastAsia="zh-CN"/>
        </w:rPr>
        <w:t xml:space="preserve">               </w:t>
      </w:r>
    </w:p>
    <w:p w14:paraId="3ABA0542">
      <w:pPr>
        <w:jc w:val="center"/>
        <w:rPr>
          <w:rFonts w:hint="eastAsia" w:ascii="仿宋" w:hAnsi="仿宋" w:eastAsia="仿宋" w:cs="仿宋"/>
          <w:b/>
          <w:bCs/>
          <w:kern w:val="2"/>
          <w:sz w:val="44"/>
          <w:szCs w:val="44"/>
          <w:lang w:eastAsia="zh-CN" w:bidi="ar-SA"/>
        </w:rPr>
      </w:pPr>
      <w:r>
        <w:rPr>
          <w:rFonts w:hint="eastAsia" w:ascii="仿宋" w:hAnsi="仿宋" w:eastAsia="仿宋" w:cs="仿宋"/>
          <w:b/>
          <w:bCs/>
          <w:kern w:val="2"/>
          <w:sz w:val="44"/>
          <w:szCs w:val="44"/>
          <w:lang w:eastAsia="zh-CN" w:bidi="ar-SA"/>
        </w:rPr>
        <w:t>诚信承诺书</w:t>
      </w:r>
    </w:p>
    <w:p w14:paraId="339FC3E7">
      <w:pPr>
        <w:jc w:val="center"/>
        <w:rPr>
          <w:rFonts w:hint="eastAsia" w:ascii="仿宋" w:hAnsi="仿宋" w:eastAsia="仿宋" w:cs="仿宋"/>
          <w:b/>
          <w:bCs/>
          <w:kern w:val="2"/>
          <w:sz w:val="44"/>
          <w:szCs w:val="44"/>
          <w:lang w:eastAsia="zh-CN" w:bidi="ar-SA"/>
        </w:rPr>
      </w:pPr>
    </w:p>
    <w:p w14:paraId="421D7709">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甲方(采购部门)：江西中医药大学附属医院</w:t>
      </w:r>
    </w:p>
    <w:p w14:paraId="29B62E9B">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乙方(承诺单位)：</w:t>
      </w:r>
    </w:p>
    <w:p w14:paraId="17C910D1">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本公司未被列入江西中医药大学附属医院、江西省卫生健康委员会失信名单。</w:t>
      </w:r>
    </w:p>
    <w:p w14:paraId="342C118B">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both"/>
        <w:textAlignment w:val="auto"/>
        <w:rPr>
          <w:rFonts w:ascii="仿宋" w:hAnsi="仿宋" w:eastAsia="仿宋" w:cs="仿宋"/>
          <w:kern w:val="2"/>
          <w:sz w:val="28"/>
          <w:szCs w:val="28"/>
          <w:lang w:eastAsia="zh-CN" w:bidi="ar-SA"/>
        </w:rPr>
      </w:pPr>
      <w:r>
        <w:rPr>
          <w:rFonts w:hint="eastAsia" w:ascii="仿宋" w:hAnsi="仿宋" w:eastAsia="仿宋" w:cs="仿宋"/>
          <w:kern w:val="2"/>
          <w:sz w:val="32"/>
          <w:szCs w:val="32"/>
          <w:lang w:eastAsia="zh-CN" w:bidi="ar-SA"/>
        </w:rPr>
        <w:t>特此承诺！</w:t>
      </w:r>
    </w:p>
    <w:p w14:paraId="72633D1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spacing w:val="53"/>
          <w:kern w:val="0"/>
          <w:sz w:val="32"/>
          <w:szCs w:val="32"/>
          <w:fitText w:val="1600" w:id="1275793716"/>
          <w:lang w:eastAsia="zh-CN" w:bidi="ar-SA"/>
        </w:rPr>
        <w:t>承诺单</w:t>
      </w:r>
      <w:r>
        <w:rPr>
          <w:rFonts w:hint="eastAsia" w:ascii="仿宋" w:hAnsi="仿宋" w:eastAsia="仿宋" w:cs="仿宋"/>
          <w:spacing w:val="1"/>
          <w:kern w:val="0"/>
          <w:sz w:val="32"/>
          <w:szCs w:val="32"/>
          <w:fitText w:val="1600" w:id="1275793716"/>
          <w:lang w:eastAsia="zh-CN" w:bidi="ar-SA"/>
        </w:rPr>
        <w:t>位</w:t>
      </w:r>
      <w:r>
        <w:rPr>
          <w:rFonts w:hint="eastAsia" w:ascii="仿宋" w:hAnsi="仿宋" w:eastAsia="仿宋" w:cs="仿宋"/>
          <w:kern w:val="2"/>
          <w:sz w:val="32"/>
          <w:szCs w:val="32"/>
          <w:lang w:eastAsia="zh-CN" w:bidi="ar-SA"/>
        </w:rPr>
        <w:t>：</w:t>
      </w:r>
    </w:p>
    <w:p w14:paraId="6BD42D1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法定代表人：</w:t>
      </w:r>
    </w:p>
    <w:p w14:paraId="6101966F">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授权代表人：</w:t>
      </w:r>
    </w:p>
    <w:p w14:paraId="5642F6B6">
      <w:pPr>
        <w:spacing w:line="560" w:lineRule="exact"/>
        <w:jc w:val="both"/>
        <w:rPr>
          <w:rFonts w:ascii="仿宋" w:hAnsi="仿宋" w:eastAsia="仿宋" w:cs="仿宋"/>
          <w:kern w:val="2"/>
          <w:sz w:val="32"/>
          <w:szCs w:val="32"/>
          <w:lang w:eastAsia="zh-CN" w:bidi="ar-SA"/>
        </w:rPr>
      </w:pPr>
    </w:p>
    <w:p w14:paraId="4C64E982">
      <w:pPr>
        <w:spacing w:line="560" w:lineRule="exact"/>
        <w:ind w:firstLine="1920" w:firstLineChars="600"/>
        <w:jc w:val="both"/>
        <w:rPr>
          <w:rFonts w:ascii="仿宋" w:hAnsi="仿宋" w:eastAsia="仿宋" w:cs="仿宋"/>
          <w:kern w:val="2"/>
          <w:sz w:val="32"/>
          <w:szCs w:val="32"/>
          <w:lang w:eastAsia="zh-CN" w:bidi="ar-SA"/>
        </w:rPr>
      </w:pPr>
      <w:r>
        <w:rPr>
          <w:rFonts w:hint="eastAsia" w:ascii="仿宋" w:hAnsi="仿宋" w:eastAsia="仿宋" w:cs="仿宋"/>
          <w:sz w:val="32"/>
          <w:szCs w:val="32"/>
          <w:lang w:eastAsia="zh-CN" w:bidi="ar-SA"/>
        </w:rPr>
        <w:t xml:space="preserve">       </w:t>
      </w:r>
      <w:r>
        <w:rPr>
          <w:rFonts w:hint="eastAsia" w:ascii="仿宋" w:hAnsi="仿宋" w:eastAsia="仿宋" w:cs="仿宋"/>
          <w:spacing w:val="480"/>
          <w:kern w:val="0"/>
          <w:sz w:val="32"/>
          <w:szCs w:val="32"/>
          <w:fitText w:val="1600" w:id="1486576527"/>
          <w:lang w:eastAsia="zh-CN" w:bidi="ar-SA"/>
        </w:rPr>
        <w:t>日</w:t>
      </w:r>
      <w:r>
        <w:rPr>
          <w:rFonts w:hint="eastAsia" w:ascii="仿宋" w:hAnsi="仿宋" w:eastAsia="仿宋" w:cs="仿宋"/>
          <w:spacing w:val="0"/>
          <w:kern w:val="0"/>
          <w:sz w:val="32"/>
          <w:szCs w:val="32"/>
          <w:fitText w:val="1600" w:id="1486576527"/>
          <w:lang w:eastAsia="zh-CN" w:bidi="ar-SA"/>
        </w:rPr>
        <w:t>期</w:t>
      </w:r>
      <w:r>
        <w:rPr>
          <w:rFonts w:hint="eastAsia" w:ascii="仿宋" w:hAnsi="仿宋" w:eastAsia="仿宋" w:cs="仿宋"/>
          <w:kern w:val="2"/>
          <w:sz w:val="32"/>
          <w:szCs w:val="32"/>
          <w:lang w:eastAsia="zh-CN" w:bidi="ar-SA"/>
        </w:rPr>
        <w:t>：    年   月   日</w:t>
      </w:r>
    </w:p>
    <w:p w14:paraId="7D967D7E">
      <w:pPr>
        <w:spacing w:line="560" w:lineRule="exact"/>
        <w:ind w:firstLine="482" w:firstLineChars="200"/>
        <w:jc w:val="left"/>
        <w:rPr>
          <w:rFonts w:hint="eastAsia" w:asciiTheme="minorEastAsia" w:hAnsiTheme="minorEastAsia" w:eastAsiaTheme="minorEastAsia" w:cstheme="minorEastAsia"/>
          <w:b/>
          <w:sz w:val="24"/>
          <w:szCs w:val="24"/>
          <w:lang w:val="en-US" w:eastAsia="zh-CN"/>
        </w:rPr>
      </w:pPr>
    </w:p>
    <w:p w14:paraId="095A4B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395E7"/>
    <w:multiLevelType w:val="singleLevel"/>
    <w:tmpl w:val="907395E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21916"/>
    <w:rsid w:val="00726300"/>
    <w:rsid w:val="00A33EAA"/>
    <w:rsid w:val="08621916"/>
    <w:rsid w:val="0FE93CCD"/>
    <w:rsid w:val="0FF30ADF"/>
    <w:rsid w:val="128B5711"/>
    <w:rsid w:val="190E54BC"/>
    <w:rsid w:val="21D50045"/>
    <w:rsid w:val="223F6FBC"/>
    <w:rsid w:val="2B7663F5"/>
    <w:rsid w:val="2DD613CD"/>
    <w:rsid w:val="30B47AE7"/>
    <w:rsid w:val="38B14F10"/>
    <w:rsid w:val="423F358D"/>
    <w:rsid w:val="4F8647BE"/>
    <w:rsid w:val="535E15DA"/>
    <w:rsid w:val="55850574"/>
    <w:rsid w:val="62B56864"/>
    <w:rsid w:val="67811751"/>
    <w:rsid w:val="68412C23"/>
    <w:rsid w:val="70E94540"/>
    <w:rsid w:val="77551397"/>
    <w:rsid w:val="7956473D"/>
    <w:rsid w:val="7A5E1AFB"/>
    <w:rsid w:val="7C7D0E2A"/>
    <w:rsid w:val="7F2C0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4"/>
    <w:basedOn w:val="1"/>
    <w:next w:val="1"/>
    <w:qFormat/>
    <w:uiPriority w:val="9"/>
    <w:pPr>
      <w:keepNext/>
      <w:keepLines/>
      <w:spacing w:line="240" w:lineRule="atLeast"/>
      <w:ind w:firstLine="200" w:firstLineChars="200"/>
      <w:outlineLvl w:val="3"/>
    </w:pPr>
    <w:rPr>
      <w:rFonts w:ascii="Cambria" w:hAnsi="Cambria"/>
      <w:b/>
      <w:bCs/>
      <w:kern w:val="0"/>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0"/>
    <w:pPr>
      <w:spacing w:after="120"/>
    </w:pPr>
    <w:rPr>
      <w:rFonts w:ascii="Calibri" w:hAnsi="Calibri"/>
      <w:sz w:val="20"/>
      <w:szCs w:val="20"/>
    </w:rPr>
  </w:style>
  <w:style w:type="paragraph" w:styleId="5">
    <w:name w:val="Body Text First Indent"/>
    <w:basedOn w:val="4"/>
    <w:qFormat/>
    <w:uiPriority w:val="0"/>
    <w:pPr>
      <w:ind w:firstLine="420" w:firstLineChars="100"/>
    </w:p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3276</Words>
  <Characters>3346</Characters>
  <Lines>0</Lines>
  <Paragraphs>0</Paragraphs>
  <TotalTime>0</TotalTime>
  <ScaleCrop>false</ScaleCrop>
  <LinksUpToDate>false</LinksUpToDate>
  <CharactersWithSpaces>3430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2026-03-23T07:30:00Z</dcterms:created>
  <dc:creator>Cy.D.One</dc:creator>
  <cp:lastModifiedBy>明年</cp:lastModifiedBy>
  <dcterms:modified xsi:type="dcterms:W3CDTF">2026-08-31T08:36:04Z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8E3B3BC7A12C42DDBD279EAE8A984A40_13</vt:lpwstr>
  </property>
  <property fmtid="{D5CDD505-2E9C-101B-9397-08002B2CF9AE}" pid="4" name="KSOTemplateDocerSaveRecord">
    <vt:lpwstr>eyJoZGlkIjoiNzY5MTUxZmI5OGNjMDQ3OGJhNDMzN2IyYTYxMDc1ZGIiLCJ1c2VySWQiOiIxMzg2MDU1NzUyIn0=</vt:lpwstr>
  </property>
</Properties>
</file>