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3998EF">
      <w:pPr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附件一</w:t>
      </w:r>
    </w:p>
    <w:p w14:paraId="4C365F0D">
      <w:pPr>
        <w:jc w:val="center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耗材参数</w:t>
      </w:r>
    </w:p>
    <w:tbl>
      <w:tblPr>
        <w:tblStyle w:val="2"/>
        <w:tblW w:w="602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7"/>
        <w:gridCol w:w="3894"/>
        <w:gridCol w:w="2057"/>
        <w:gridCol w:w="1895"/>
      </w:tblGrid>
      <w:tr w14:paraId="35C6E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81" w:type="pct"/>
            <w:noWrap/>
            <w:vAlign w:val="center"/>
          </w:tcPr>
          <w:p w14:paraId="2BDA79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895" w:type="pct"/>
            <w:noWrap/>
            <w:vAlign w:val="center"/>
          </w:tcPr>
          <w:p w14:paraId="77606B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技术要求</w:t>
            </w:r>
          </w:p>
        </w:tc>
        <w:tc>
          <w:tcPr>
            <w:tcW w:w="1001" w:type="pct"/>
            <w:shd w:val="clear" w:color="auto" w:fill="auto"/>
            <w:noWrap/>
            <w:vAlign w:val="top"/>
          </w:tcPr>
          <w:p w14:paraId="1B2C41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响应</w:t>
            </w:r>
          </w:p>
        </w:tc>
        <w:tc>
          <w:tcPr>
            <w:tcW w:w="922" w:type="pct"/>
            <w:shd w:val="clear" w:color="auto" w:fill="auto"/>
            <w:noWrap/>
            <w:vAlign w:val="top"/>
          </w:tcPr>
          <w:p w14:paraId="07CCE4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  <w:t>偏离</w:t>
            </w:r>
          </w:p>
        </w:tc>
      </w:tr>
      <w:tr w14:paraId="252F2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81" w:type="pct"/>
            <w:noWrap/>
            <w:vAlign w:val="center"/>
          </w:tcPr>
          <w:p w14:paraId="7933FB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bookmarkStart w:id="0" w:name="_GoBack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特殊染色试剂</w:t>
            </w:r>
            <w:bookmarkEnd w:id="0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-病理抗酸染色液</w:t>
            </w:r>
          </w:p>
        </w:tc>
        <w:tc>
          <w:tcPr>
            <w:tcW w:w="1895" w:type="pct"/>
            <w:noWrap/>
            <w:vAlign w:val="center"/>
          </w:tcPr>
          <w:p w14:paraId="0DA0D0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tLeast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4"/>
                <w:lang w:val="en-US" w:eastAsia="zh-CN"/>
              </w:rPr>
              <w:t>1、规格4×（20ml-250ml）。</w:t>
            </w:r>
          </w:p>
          <w:p w14:paraId="032E04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tLeast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4"/>
                <w:lang w:val="en-US" w:eastAsia="zh-CN"/>
              </w:rPr>
              <w:t>2、由石碳酸复红溶液、酸性酒精溶液、亚甲基蓝溶液等组成。</w:t>
            </w:r>
          </w:p>
          <w:p w14:paraId="1703B9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tLeast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4"/>
                <w:lang w:val="en-US" w:eastAsia="zh-CN"/>
              </w:rPr>
              <w:t>3、用于组织细胞中结核杆菌、麻风杆菌等细菌的抗酸染色。</w:t>
            </w:r>
          </w:p>
          <w:p w14:paraId="283A0B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tLeast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4"/>
                <w:lang w:val="en-US" w:eastAsia="zh-CN"/>
              </w:rPr>
              <w:t>4、有效期最少12个月。</w:t>
            </w:r>
          </w:p>
        </w:tc>
        <w:tc>
          <w:tcPr>
            <w:tcW w:w="1001" w:type="pct"/>
            <w:shd w:val="clear" w:color="auto" w:fill="auto"/>
            <w:noWrap/>
            <w:vAlign w:val="top"/>
          </w:tcPr>
          <w:p w14:paraId="48DD5B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</w:p>
        </w:tc>
        <w:tc>
          <w:tcPr>
            <w:tcW w:w="922" w:type="pct"/>
            <w:shd w:val="clear" w:color="auto" w:fill="auto"/>
            <w:noWrap/>
            <w:vAlign w:val="top"/>
          </w:tcPr>
          <w:p w14:paraId="432CE4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</w:p>
        </w:tc>
      </w:tr>
      <w:tr w14:paraId="046BC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81" w:type="pct"/>
            <w:noWrap/>
            <w:vAlign w:val="center"/>
          </w:tcPr>
          <w:p w14:paraId="3AA915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特殊染色试剂-网状纤维染色液</w:t>
            </w:r>
          </w:p>
        </w:tc>
        <w:tc>
          <w:tcPr>
            <w:tcW w:w="1895" w:type="pct"/>
            <w:noWrap/>
            <w:vAlign w:val="center"/>
          </w:tcPr>
          <w:p w14:paraId="022E90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tLeast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4"/>
                <w:lang w:val="en-US" w:eastAsia="zh-CN"/>
              </w:rPr>
              <w:t>1、规格7×（10ml-100ml）。</w:t>
            </w:r>
          </w:p>
          <w:p w14:paraId="750250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tLeast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4"/>
                <w:lang w:val="en-US" w:eastAsia="zh-CN"/>
              </w:rPr>
              <w:t>2、由高锰酸钾溶液、草酸溶液、硫酸铁铵溶液、银氨液、甲醛溶液、氯化金溶液、硫代硫酸钠溶液等组成。</w:t>
            </w:r>
          </w:p>
          <w:p w14:paraId="3C41B1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tLeast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4"/>
                <w:lang w:val="en-US" w:eastAsia="zh-CN"/>
              </w:rPr>
              <w:t>3、主要用于组织中网状纤维的组织细胞学染色。</w:t>
            </w:r>
          </w:p>
          <w:p w14:paraId="0E86C9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tLeast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4"/>
                <w:lang w:val="en-US" w:eastAsia="zh-CN"/>
              </w:rPr>
              <w:t>4、有效期最少12个月。</w:t>
            </w:r>
          </w:p>
        </w:tc>
        <w:tc>
          <w:tcPr>
            <w:tcW w:w="1001" w:type="pct"/>
            <w:shd w:val="clear" w:color="auto" w:fill="auto"/>
            <w:noWrap/>
            <w:vAlign w:val="top"/>
          </w:tcPr>
          <w:p w14:paraId="045A2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</w:p>
        </w:tc>
        <w:tc>
          <w:tcPr>
            <w:tcW w:w="922" w:type="pct"/>
            <w:shd w:val="clear" w:color="auto" w:fill="auto"/>
            <w:noWrap/>
            <w:vAlign w:val="top"/>
          </w:tcPr>
          <w:p w14:paraId="293A57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</w:p>
        </w:tc>
      </w:tr>
      <w:tr w14:paraId="29A90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81" w:type="pct"/>
            <w:noWrap/>
            <w:vAlign w:val="center"/>
          </w:tcPr>
          <w:p w14:paraId="5C96BB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特殊染色试剂-弹性纤维染色液（维多利亚蓝法）</w:t>
            </w:r>
          </w:p>
        </w:tc>
        <w:tc>
          <w:tcPr>
            <w:tcW w:w="1895" w:type="pct"/>
            <w:noWrap/>
            <w:vAlign w:val="center"/>
          </w:tcPr>
          <w:p w14:paraId="751327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tLeast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4"/>
                <w:lang w:val="en-US" w:eastAsia="zh-CN"/>
              </w:rPr>
              <w:t>1、规格4×（20ml-100ml）。</w:t>
            </w:r>
          </w:p>
          <w:p w14:paraId="3073BA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tLeast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4"/>
                <w:lang w:val="en-US" w:eastAsia="zh-CN"/>
              </w:rPr>
              <w:t>2、由高锰酸钾溶液、草酸溶液、Elastin 染液、Van Gieson染液等组成。</w:t>
            </w:r>
          </w:p>
          <w:p w14:paraId="17AFA0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tLeast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4"/>
                <w:lang w:val="en-US" w:eastAsia="zh-CN"/>
              </w:rPr>
              <w:t>3、用于组织细胞学染色从而定性检测组织切片中的弹性纤维。</w:t>
            </w:r>
          </w:p>
          <w:p w14:paraId="579CC9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tLeast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4"/>
                <w:lang w:val="en-US" w:eastAsia="zh-CN"/>
              </w:rPr>
              <w:t>4、有效期最少12个月。</w:t>
            </w:r>
          </w:p>
        </w:tc>
        <w:tc>
          <w:tcPr>
            <w:tcW w:w="1001" w:type="pct"/>
            <w:shd w:val="clear" w:color="auto" w:fill="auto"/>
            <w:noWrap/>
            <w:vAlign w:val="top"/>
          </w:tcPr>
          <w:p w14:paraId="61D796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</w:p>
        </w:tc>
        <w:tc>
          <w:tcPr>
            <w:tcW w:w="922" w:type="pct"/>
            <w:shd w:val="clear" w:color="auto" w:fill="auto"/>
            <w:noWrap/>
            <w:vAlign w:val="top"/>
          </w:tcPr>
          <w:p w14:paraId="42A811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</w:p>
        </w:tc>
      </w:tr>
      <w:tr w14:paraId="2F225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81" w:type="pct"/>
            <w:noWrap/>
            <w:vAlign w:val="center"/>
          </w:tcPr>
          <w:p w14:paraId="4541F0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特殊染色试剂-爱先蓝-糖原染色液（AB-PAS）</w:t>
            </w:r>
          </w:p>
        </w:tc>
        <w:tc>
          <w:tcPr>
            <w:tcW w:w="1895" w:type="pct"/>
            <w:noWrap/>
            <w:vAlign w:val="center"/>
          </w:tcPr>
          <w:p w14:paraId="6B4325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tLeast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4"/>
                <w:lang w:val="en-US" w:eastAsia="zh-CN"/>
              </w:rPr>
              <w:t>1、规格4×（20ml-100ml）。</w:t>
            </w:r>
          </w:p>
          <w:p w14:paraId="358AE4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tLeast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4"/>
                <w:lang w:val="en-US" w:eastAsia="zh-CN"/>
              </w:rPr>
              <w:t>2、由爱先蓝染液（pH2.5）、高碘酸溶液、雪夫(schiff)试剂、苏木素染液（Mayer）等组成。</w:t>
            </w:r>
          </w:p>
          <w:p w14:paraId="27577F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tLeast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4"/>
                <w:lang w:val="en-US" w:eastAsia="zh-CN"/>
              </w:rPr>
              <w:t>3、用于组织细胞学染色从而定性鉴定多糖中的酸粘蛋白。</w:t>
            </w:r>
          </w:p>
          <w:p w14:paraId="46CF90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tLeast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4"/>
                <w:lang w:val="en-US" w:eastAsia="zh-CN"/>
              </w:rPr>
              <w:t>4、有效期最少12个月。</w:t>
            </w:r>
          </w:p>
        </w:tc>
        <w:tc>
          <w:tcPr>
            <w:tcW w:w="1001" w:type="pct"/>
            <w:shd w:val="clear" w:color="auto" w:fill="auto"/>
            <w:noWrap/>
            <w:vAlign w:val="top"/>
          </w:tcPr>
          <w:p w14:paraId="07EB3C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</w:p>
        </w:tc>
        <w:tc>
          <w:tcPr>
            <w:tcW w:w="922" w:type="pct"/>
            <w:shd w:val="clear" w:color="auto" w:fill="auto"/>
            <w:noWrap/>
            <w:vAlign w:val="top"/>
          </w:tcPr>
          <w:p w14:paraId="67F488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</w:p>
        </w:tc>
      </w:tr>
      <w:tr w14:paraId="78D3C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81" w:type="pct"/>
            <w:noWrap/>
            <w:vAlign w:val="center"/>
          </w:tcPr>
          <w:p w14:paraId="7196F6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特殊染色试剂-六胺银染色液</w:t>
            </w:r>
          </w:p>
        </w:tc>
        <w:tc>
          <w:tcPr>
            <w:tcW w:w="1895" w:type="pct"/>
            <w:noWrap/>
            <w:vAlign w:val="center"/>
          </w:tcPr>
          <w:p w14:paraId="4CB497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tLeast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4"/>
                <w:lang w:val="en-US" w:eastAsia="zh-CN"/>
              </w:rPr>
              <w:t>1、规格20-50测试/盒。</w:t>
            </w:r>
          </w:p>
          <w:p w14:paraId="58BEBF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tLeast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4"/>
                <w:lang w:val="en-US" w:eastAsia="zh-CN"/>
              </w:rPr>
              <w:t>2、型号有亮绿复染法和伊红复染法。</w:t>
            </w:r>
          </w:p>
          <w:p w14:paraId="22BE1E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tLeast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4"/>
                <w:lang w:val="en-US" w:eastAsia="zh-CN"/>
              </w:rPr>
              <w:t>3、由高碘酸溶液、硼砂溶液、六次甲基四胺银粉剂、硫代硫酸钠溶液、亮绿染液、伊红染液等组成。</w:t>
            </w:r>
          </w:p>
          <w:p w14:paraId="2E2A1A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tLeast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4"/>
                <w:lang w:val="en-US" w:eastAsia="zh-CN"/>
              </w:rPr>
              <w:t>4、用于定性组织学染色，对真菌和其他机会性生物的细胞壁中的多糖染色。</w:t>
            </w:r>
          </w:p>
          <w:p w14:paraId="15021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tLeast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4"/>
                <w:lang w:val="en-US" w:eastAsia="zh-CN"/>
              </w:rPr>
              <w:t>5、有效期最少12个月。</w:t>
            </w:r>
          </w:p>
        </w:tc>
        <w:tc>
          <w:tcPr>
            <w:tcW w:w="1001" w:type="pct"/>
            <w:shd w:val="clear" w:color="auto" w:fill="auto"/>
            <w:noWrap/>
            <w:vAlign w:val="top"/>
          </w:tcPr>
          <w:p w14:paraId="0AEBB1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</w:p>
        </w:tc>
        <w:tc>
          <w:tcPr>
            <w:tcW w:w="922" w:type="pct"/>
            <w:shd w:val="clear" w:color="auto" w:fill="auto"/>
            <w:noWrap/>
            <w:vAlign w:val="top"/>
          </w:tcPr>
          <w:p w14:paraId="4BA565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</w:p>
        </w:tc>
      </w:tr>
      <w:tr w14:paraId="482CA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81" w:type="pct"/>
            <w:noWrap/>
            <w:vAlign w:val="center"/>
          </w:tcPr>
          <w:p w14:paraId="67A9DD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特殊染色试剂-病理糖原染色液（PAS）</w:t>
            </w:r>
          </w:p>
        </w:tc>
        <w:tc>
          <w:tcPr>
            <w:tcW w:w="1895" w:type="pct"/>
            <w:noWrap/>
            <w:vAlign w:val="center"/>
          </w:tcPr>
          <w:p w14:paraId="15A72C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tLeast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4"/>
                <w:lang w:val="en-US" w:eastAsia="zh-CN"/>
              </w:rPr>
              <w:t>1、规格3×（20ml-100ml）。</w:t>
            </w:r>
          </w:p>
          <w:p w14:paraId="654972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tLeast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4"/>
                <w:lang w:val="en-US" w:eastAsia="zh-CN"/>
              </w:rPr>
              <w:t>2、由高碘酸溶液、雪夫(schiff)试剂、苏木素染液(Mayer)等组成</w:t>
            </w:r>
          </w:p>
          <w:p w14:paraId="78E823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tLeast"/>
              <w:jc w:val="left"/>
              <w:textAlignment w:val="auto"/>
              <w:rPr>
                <w:rFonts w:hint="eastAsia" w:ascii="仿宋" w:hAnsi="仿宋" w:eastAsia="仿宋" w:cs="仿宋"/>
                <w:sz w:val="22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4"/>
                <w:lang w:val="en-US" w:eastAsia="zh-CN"/>
              </w:rPr>
              <w:t>3、用于组织细胞学糖原和霉菌的染色。</w:t>
            </w:r>
          </w:p>
          <w:p w14:paraId="6C038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240" w:lineRule="atLeast"/>
              <w:jc w:val="left"/>
              <w:textAlignment w:val="auto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4"/>
                <w:lang w:val="en-US" w:eastAsia="zh-CN"/>
              </w:rPr>
              <w:t>4、有效期最少12个月。</w:t>
            </w:r>
          </w:p>
        </w:tc>
        <w:tc>
          <w:tcPr>
            <w:tcW w:w="1001" w:type="pct"/>
            <w:shd w:val="clear" w:color="auto" w:fill="auto"/>
            <w:noWrap/>
            <w:vAlign w:val="top"/>
          </w:tcPr>
          <w:p w14:paraId="7DCAC2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</w:p>
        </w:tc>
        <w:tc>
          <w:tcPr>
            <w:tcW w:w="922" w:type="pct"/>
            <w:shd w:val="clear" w:color="auto" w:fill="auto"/>
            <w:noWrap/>
            <w:vAlign w:val="top"/>
          </w:tcPr>
          <w:p w14:paraId="7A29A9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</w:p>
        </w:tc>
      </w:tr>
      <w:tr w14:paraId="78DF7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81" w:type="pct"/>
            <w:noWrap/>
            <w:vAlign w:val="center"/>
          </w:tcPr>
          <w:p w14:paraId="1E03D3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895" w:type="pct"/>
            <w:noWrap/>
            <w:vAlign w:val="center"/>
          </w:tcPr>
          <w:p w14:paraId="04ED4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</w:p>
        </w:tc>
        <w:tc>
          <w:tcPr>
            <w:tcW w:w="1001" w:type="pct"/>
            <w:shd w:val="clear" w:color="auto" w:fill="auto"/>
            <w:noWrap/>
            <w:vAlign w:val="top"/>
          </w:tcPr>
          <w:p w14:paraId="4FF393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</w:p>
        </w:tc>
        <w:tc>
          <w:tcPr>
            <w:tcW w:w="922" w:type="pct"/>
            <w:shd w:val="clear" w:color="auto" w:fill="auto"/>
            <w:noWrap/>
            <w:vAlign w:val="top"/>
          </w:tcPr>
          <w:p w14:paraId="3DE2AD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</w:p>
        </w:tc>
      </w:tr>
      <w:tr w14:paraId="67A08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81" w:type="pct"/>
            <w:noWrap/>
            <w:vAlign w:val="center"/>
          </w:tcPr>
          <w:p w14:paraId="588473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895" w:type="pct"/>
            <w:noWrap/>
            <w:vAlign w:val="center"/>
          </w:tcPr>
          <w:p w14:paraId="368E3E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</w:p>
        </w:tc>
        <w:tc>
          <w:tcPr>
            <w:tcW w:w="1001" w:type="pct"/>
            <w:shd w:val="clear" w:color="auto" w:fill="auto"/>
            <w:noWrap/>
            <w:vAlign w:val="top"/>
          </w:tcPr>
          <w:p w14:paraId="124E02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</w:p>
        </w:tc>
        <w:tc>
          <w:tcPr>
            <w:tcW w:w="922" w:type="pct"/>
            <w:shd w:val="clear" w:color="auto" w:fill="auto"/>
            <w:noWrap/>
            <w:vAlign w:val="top"/>
          </w:tcPr>
          <w:p w14:paraId="70D4C4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</w:p>
        </w:tc>
      </w:tr>
      <w:tr w14:paraId="5B740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81" w:type="pct"/>
            <w:noWrap/>
            <w:vAlign w:val="center"/>
          </w:tcPr>
          <w:p w14:paraId="526EC7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895" w:type="pct"/>
            <w:noWrap/>
            <w:vAlign w:val="center"/>
          </w:tcPr>
          <w:p w14:paraId="5D5DA4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</w:p>
        </w:tc>
        <w:tc>
          <w:tcPr>
            <w:tcW w:w="1001" w:type="pct"/>
            <w:shd w:val="clear" w:color="auto" w:fill="auto"/>
            <w:noWrap/>
            <w:vAlign w:val="top"/>
          </w:tcPr>
          <w:p w14:paraId="6257CA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</w:p>
        </w:tc>
        <w:tc>
          <w:tcPr>
            <w:tcW w:w="922" w:type="pct"/>
            <w:shd w:val="clear" w:color="auto" w:fill="auto"/>
            <w:noWrap/>
            <w:vAlign w:val="top"/>
          </w:tcPr>
          <w:p w14:paraId="2A66AF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</w:p>
        </w:tc>
      </w:tr>
      <w:tr w14:paraId="3E7C7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181" w:type="pct"/>
            <w:noWrap/>
            <w:vAlign w:val="center"/>
          </w:tcPr>
          <w:p w14:paraId="751427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895" w:type="pct"/>
            <w:noWrap/>
            <w:vAlign w:val="center"/>
          </w:tcPr>
          <w:p w14:paraId="001283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</w:p>
        </w:tc>
        <w:tc>
          <w:tcPr>
            <w:tcW w:w="1001" w:type="pct"/>
            <w:shd w:val="clear" w:color="auto" w:fill="auto"/>
            <w:noWrap/>
            <w:vAlign w:val="top"/>
          </w:tcPr>
          <w:p w14:paraId="2625A9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</w:p>
        </w:tc>
        <w:tc>
          <w:tcPr>
            <w:tcW w:w="922" w:type="pct"/>
            <w:shd w:val="clear" w:color="auto" w:fill="auto"/>
            <w:noWrap/>
            <w:vAlign w:val="top"/>
          </w:tcPr>
          <w:p w14:paraId="63A8B8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  <w:lang w:eastAsia="zh-CN"/>
              </w:rPr>
            </w:pPr>
          </w:p>
        </w:tc>
      </w:tr>
    </w:tbl>
    <w:p w14:paraId="76A9DEF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3C6AEF"/>
    <w:rsid w:val="503C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2026-08-31T03:14:00Z</dcterms:created>
  <dc:creator>Cy.D.One</dc:creator>
  <cp:lastModifiedBy>Cy.D.One</cp:lastModifiedBy>
  <dcterms:modified xsi:type="dcterms:W3CDTF">2026-08-31T03:19:47Z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9EBFCFCC277E4AB1B4EC0BA92D1EB743_11</vt:lpwstr>
  </property>
  <property fmtid="{D5CDD505-2E9C-101B-9397-08002B2CF9AE}" pid="4" name="KSOTemplateDocerSaveRecord">
    <vt:lpwstr>eyJoZGlkIjoiNGEwMGY4MjE0Mzk5N2JiOTg1NGNmMjU4NTBhOGRlZTciLCJ1c2VySWQiOiIyMDc1NTE2NTYifQ==</vt:lpwstr>
  </property>
</Properties>
</file>