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2D2F75">
      <w:pPr>
        <w:pStyle w:val="3"/>
        <w:spacing w:before="102" w:line="224" w:lineRule="auto"/>
        <w:ind w:left="3307"/>
        <w:outlineLvl w:val="0"/>
        <w:rPr>
          <w:sz w:val="43"/>
          <w:szCs w:val="43"/>
        </w:rPr>
      </w:pPr>
      <w:r>
        <w:rPr>
          <w:b/>
          <w:bCs/>
          <w:sz w:val="43"/>
          <w:szCs w:val="43"/>
        </w:rPr>
        <w:t>项目需求</w:t>
      </w:r>
    </w:p>
    <w:p w14:paraId="7F1D45E8">
      <w:pPr>
        <w:pStyle w:val="3"/>
        <w:spacing w:before="180" w:line="219" w:lineRule="auto"/>
        <w:ind w:left="29"/>
        <w:outlineLvl w:val="1"/>
        <w:rPr>
          <w:sz w:val="28"/>
          <w:szCs w:val="28"/>
        </w:rPr>
      </w:pPr>
      <w:r>
        <w:rPr>
          <w:b/>
          <w:bCs/>
          <w:spacing w:val="-7"/>
          <w:sz w:val="28"/>
          <w:szCs w:val="28"/>
        </w:rPr>
        <w:t>一、采购清单</w:t>
      </w:r>
    </w:p>
    <w:p w14:paraId="1A27E29D">
      <w:pPr>
        <w:spacing w:line="119" w:lineRule="exact"/>
      </w:pPr>
    </w:p>
    <w:tbl>
      <w:tblPr>
        <w:tblStyle w:val="6"/>
        <w:tblW w:w="8302" w:type="dxa"/>
        <w:tblInd w:w="1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9"/>
        <w:gridCol w:w="1780"/>
        <w:gridCol w:w="1146"/>
        <w:gridCol w:w="1144"/>
        <w:gridCol w:w="1147"/>
        <w:gridCol w:w="1144"/>
        <w:gridCol w:w="1202"/>
      </w:tblGrid>
      <w:tr w14:paraId="63B310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739" w:type="dxa"/>
            <w:vAlign w:val="top"/>
          </w:tcPr>
          <w:p w14:paraId="65C7608B">
            <w:pPr>
              <w:pStyle w:val="7"/>
              <w:spacing w:before="196" w:line="221" w:lineRule="auto"/>
              <w:ind w:left="133"/>
            </w:pPr>
            <w:r>
              <w:rPr>
                <w:b/>
                <w:bCs/>
                <w:spacing w:val="-5"/>
              </w:rPr>
              <w:t>序号</w:t>
            </w:r>
          </w:p>
        </w:tc>
        <w:tc>
          <w:tcPr>
            <w:tcW w:w="1780" w:type="dxa"/>
            <w:vAlign w:val="top"/>
          </w:tcPr>
          <w:p w14:paraId="443B08DB">
            <w:pPr>
              <w:pStyle w:val="7"/>
              <w:spacing w:before="197" w:line="220" w:lineRule="auto"/>
              <w:ind w:left="416"/>
            </w:pPr>
            <w:r>
              <w:rPr>
                <w:b/>
                <w:bCs/>
                <w:spacing w:val="-5"/>
              </w:rPr>
              <w:t>项目名称</w:t>
            </w:r>
          </w:p>
        </w:tc>
        <w:tc>
          <w:tcPr>
            <w:tcW w:w="1146" w:type="dxa"/>
            <w:vAlign w:val="top"/>
          </w:tcPr>
          <w:p w14:paraId="331CF35B">
            <w:pPr>
              <w:pStyle w:val="7"/>
              <w:spacing w:before="41" w:line="223" w:lineRule="auto"/>
              <w:ind w:left="223" w:right="226" w:firstLine="115"/>
            </w:pPr>
            <w:r>
              <w:rPr>
                <w:b/>
                <w:bCs/>
                <w:spacing w:val="-7"/>
              </w:rPr>
              <w:t>数量</w:t>
            </w:r>
            <w:r>
              <w:rPr>
                <w:b/>
                <w:bCs/>
                <w:spacing w:val="-13"/>
              </w:rPr>
              <w:t>（台）</w:t>
            </w:r>
          </w:p>
        </w:tc>
        <w:tc>
          <w:tcPr>
            <w:tcW w:w="1144" w:type="dxa"/>
            <w:vAlign w:val="top"/>
          </w:tcPr>
          <w:p w14:paraId="1F630AC9">
            <w:pPr>
              <w:pStyle w:val="7"/>
              <w:spacing w:before="196" w:line="220" w:lineRule="auto"/>
              <w:ind w:left="355"/>
            </w:pPr>
            <w:r>
              <w:rPr>
                <w:b/>
                <w:bCs/>
                <w:spacing w:val="-10"/>
              </w:rPr>
              <w:t>品牌</w:t>
            </w:r>
          </w:p>
        </w:tc>
        <w:tc>
          <w:tcPr>
            <w:tcW w:w="1147" w:type="dxa"/>
            <w:vAlign w:val="top"/>
          </w:tcPr>
          <w:p w14:paraId="52B2BB1C">
            <w:pPr>
              <w:pStyle w:val="7"/>
              <w:spacing w:before="41" w:line="223" w:lineRule="auto"/>
              <w:ind w:left="464" w:right="209" w:hanging="245"/>
            </w:pPr>
            <w:r>
              <w:rPr>
                <w:b/>
                <w:bCs/>
                <w:spacing w:val="-5"/>
              </w:rPr>
              <w:t>服务类</w:t>
            </w:r>
            <w:r>
              <w:rPr>
                <w:b/>
                <w:bCs/>
                <w:spacing w:val="-3"/>
              </w:rPr>
              <w:t>别</w:t>
            </w:r>
          </w:p>
        </w:tc>
        <w:tc>
          <w:tcPr>
            <w:tcW w:w="1144" w:type="dxa"/>
            <w:vAlign w:val="top"/>
          </w:tcPr>
          <w:p w14:paraId="3D87EE21">
            <w:pPr>
              <w:pStyle w:val="7"/>
              <w:spacing w:before="41" w:line="223" w:lineRule="auto"/>
              <w:ind w:left="476" w:right="208" w:hanging="259"/>
            </w:pPr>
            <w:r>
              <w:rPr>
                <w:b/>
                <w:bCs/>
                <w:spacing w:val="-5"/>
              </w:rPr>
              <w:t>服务期</w:t>
            </w:r>
            <w:r>
              <w:rPr>
                <w:b/>
                <w:bCs/>
                <w:spacing w:val="-3"/>
              </w:rPr>
              <w:t>限</w:t>
            </w:r>
          </w:p>
        </w:tc>
        <w:tc>
          <w:tcPr>
            <w:tcW w:w="1202" w:type="dxa"/>
            <w:vAlign w:val="top"/>
          </w:tcPr>
          <w:p w14:paraId="39D557CE">
            <w:pPr>
              <w:pStyle w:val="7"/>
              <w:spacing w:before="196" w:line="220" w:lineRule="auto"/>
              <w:ind w:left="124"/>
            </w:pPr>
            <w:r>
              <w:rPr>
                <w:b/>
                <w:bCs/>
                <w:spacing w:val="-4"/>
              </w:rPr>
              <w:t>服务地点</w:t>
            </w:r>
          </w:p>
        </w:tc>
      </w:tr>
      <w:tr w14:paraId="7790DF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6" w:hRule="atLeast"/>
        </w:trPr>
        <w:tc>
          <w:tcPr>
            <w:tcW w:w="739" w:type="dxa"/>
            <w:vAlign w:val="top"/>
          </w:tcPr>
          <w:p w14:paraId="31C2AA68">
            <w:pPr>
              <w:pStyle w:val="7"/>
              <w:spacing w:before="302" w:line="241" w:lineRule="auto"/>
              <w:ind w:left="334"/>
            </w:pPr>
            <w:r>
              <w:t>1</w:t>
            </w:r>
          </w:p>
        </w:tc>
        <w:tc>
          <w:tcPr>
            <w:tcW w:w="1780" w:type="dxa"/>
            <w:vAlign w:val="center"/>
          </w:tcPr>
          <w:p w14:paraId="08A3A9C3">
            <w:pPr>
              <w:pStyle w:val="7"/>
              <w:keepNext w:val="0"/>
              <w:keepLines w:val="0"/>
              <w:pageBreakBefore w:val="0"/>
              <w:widowControl/>
              <w:kinsoku w:val="0"/>
              <w:wordWrap/>
              <w:overflowPunct/>
              <w:topLinePunct w:val="0"/>
              <w:autoSpaceDE w:val="0"/>
              <w:autoSpaceDN w:val="0"/>
              <w:bidi w:val="0"/>
              <w:adjustRightInd w:val="0"/>
              <w:snapToGrid w:val="0"/>
              <w:ind w:left="0" w:right="170" w:firstLine="0"/>
              <w:jc w:val="center"/>
              <w:textAlignment w:val="baseline"/>
            </w:pPr>
            <w:r>
              <w:rPr>
                <w:rFonts w:hint="eastAsia"/>
                <w:lang w:val="en-US" w:eastAsia="zh-CN"/>
              </w:rPr>
              <w:t>内窥镜</w:t>
            </w:r>
            <w:r>
              <w:t>设备维保服务</w:t>
            </w:r>
          </w:p>
        </w:tc>
        <w:tc>
          <w:tcPr>
            <w:tcW w:w="1146" w:type="dxa"/>
            <w:vAlign w:val="top"/>
          </w:tcPr>
          <w:p w14:paraId="16E69E5C">
            <w:pPr>
              <w:pStyle w:val="7"/>
              <w:spacing w:before="302"/>
              <w:ind w:left="474"/>
              <w:rPr>
                <w:rFonts w:hint="default" w:eastAsia="宋体"/>
                <w:lang w:val="en-US" w:eastAsia="zh-CN"/>
              </w:rPr>
            </w:pPr>
            <w:r>
              <w:rPr>
                <w:rFonts w:hint="eastAsia"/>
                <w:spacing w:val="-7"/>
                <w:lang w:val="en-US" w:eastAsia="zh-CN"/>
              </w:rPr>
              <w:t>25</w:t>
            </w:r>
          </w:p>
        </w:tc>
        <w:tc>
          <w:tcPr>
            <w:tcW w:w="1144" w:type="dxa"/>
            <w:vAlign w:val="top"/>
          </w:tcPr>
          <w:p w14:paraId="02DB51A3">
            <w:pPr>
              <w:pStyle w:val="7"/>
              <w:spacing w:before="145" w:line="241" w:lineRule="auto"/>
              <w:ind w:left="456" w:right="212" w:hanging="233"/>
            </w:pPr>
            <w:r>
              <w:rPr>
                <w:spacing w:val="-6"/>
              </w:rPr>
              <w:t>奥林巴</w:t>
            </w:r>
            <w:r>
              <w:t>斯</w:t>
            </w:r>
          </w:p>
        </w:tc>
        <w:tc>
          <w:tcPr>
            <w:tcW w:w="1147" w:type="dxa"/>
            <w:vAlign w:val="top"/>
          </w:tcPr>
          <w:p w14:paraId="5100046B">
            <w:pPr>
              <w:pStyle w:val="7"/>
              <w:spacing w:before="302" w:line="220" w:lineRule="auto"/>
              <w:ind w:left="341"/>
            </w:pPr>
            <w:r>
              <w:rPr>
                <w:spacing w:val="-3"/>
              </w:rPr>
              <w:t>全保</w:t>
            </w:r>
          </w:p>
        </w:tc>
        <w:tc>
          <w:tcPr>
            <w:tcW w:w="1144" w:type="dxa"/>
            <w:vAlign w:val="top"/>
          </w:tcPr>
          <w:p w14:paraId="5B3BCE1E">
            <w:pPr>
              <w:pStyle w:val="7"/>
              <w:spacing w:before="301" w:line="220" w:lineRule="auto"/>
              <w:ind w:left="339"/>
            </w:pPr>
            <w:r>
              <w:rPr>
                <w:spacing w:val="-3"/>
              </w:rPr>
              <w:t>三年</w:t>
            </w:r>
          </w:p>
        </w:tc>
        <w:tc>
          <w:tcPr>
            <w:tcW w:w="1202" w:type="dxa"/>
            <w:vAlign w:val="top"/>
          </w:tcPr>
          <w:p w14:paraId="65205323">
            <w:pPr>
              <w:pStyle w:val="7"/>
              <w:spacing w:before="145" w:line="241" w:lineRule="auto"/>
              <w:ind w:left="251" w:right="119" w:hanging="126"/>
            </w:pPr>
            <w:r>
              <w:rPr>
                <w:spacing w:val="-3"/>
              </w:rPr>
              <w:t>采购人指</w:t>
            </w:r>
            <w:r>
              <w:rPr>
                <w:spacing w:val="-4"/>
              </w:rPr>
              <w:t>定地点</w:t>
            </w:r>
          </w:p>
        </w:tc>
      </w:tr>
    </w:tbl>
    <w:p w14:paraId="01F645A0">
      <w:pPr>
        <w:pStyle w:val="3"/>
        <w:spacing w:before="171" w:line="220" w:lineRule="auto"/>
        <w:ind w:left="29"/>
        <w:outlineLvl w:val="1"/>
        <w:rPr>
          <w:sz w:val="28"/>
          <w:szCs w:val="28"/>
        </w:rPr>
      </w:pPr>
      <w:r>
        <w:rPr>
          <w:b/>
          <w:bCs/>
          <w:spacing w:val="-4"/>
          <w:sz w:val="28"/>
          <w:szCs w:val="28"/>
        </w:rPr>
        <w:t>二、服务内容及要求</w:t>
      </w:r>
      <w:bookmarkStart w:id="0" w:name="_GoBack"/>
      <w:bookmarkEnd w:id="0"/>
    </w:p>
    <w:p w14:paraId="3EE86B7E">
      <w:pPr>
        <w:pStyle w:val="3"/>
        <w:spacing w:before="155" w:line="220" w:lineRule="auto"/>
        <w:ind w:left="523"/>
        <w:outlineLvl w:val="2"/>
      </w:pPr>
      <w:r>
        <w:rPr>
          <w:b/>
          <w:bCs/>
          <w:spacing w:val="-6"/>
        </w:rPr>
        <w:t>1）保修内容：</w:t>
      </w:r>
    </w:p>
    <w:tbl>
      <w:tblPr>
        <w:tblStyle w:val="4"/>
        <w:tblW w:w="8100"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191"/>
        <w:gridCol w:w="1813"/>
        <w:gridCol w:w="4096"/>
      </w:tblGrid>
      <w:tr w14:paraId="4BFBE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191" w:type="dxa"/>
            <w:tcBorders>
              <w:top w:val="nil"/>
              <w:left w:val="nil"/>
              <w:bottom w:val="nil"/>
              <w:right w:val="nil"/>
            </w:tcBorders>
            <w:shd w:val="clear" w:color="auto" w:fill="auto"/>
            <w:noWrap/>
            <w:vAlign w:val="top"/>
          </w:tcPr>
          <w:p w14:paraId="3B52EA4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Times New Roman" w:hAnsi="Times New Roman" w:eastAsia="宋体" w:cs="宋体"/>
                <w:i w:val="0"/>
                <w:iCs w:val="0"/>
                <w:color w:val="000000"/>
                <w:sz w:val="24"/>
                <w:szCs w:val="22"/>
                <w:u w:val="none"/>
              </w:rPr>
            </w:pPr>
            <w:r>
              <w:rPr>
                <w:rFonts w:hint="eastAsia" w:ascii="Times New Roman" w:hAnsi="Times New Roman" w:eastAsia="宋体" w:cs="宋体"/>
                <w:i w:val="0"/>
                <w:iCs w:val="0"/>
                <w:snapToGrid w:val="0"/>
                <w:color w:val="000000"/>
                <w:kern w:val="0"/>
                <w:sz w:val="24"/>
                <w:szCs w:val="22"/>
                <w:u w:val="none"/>
                <w:lang w:val="en-US" w:eastAsia="zh-CN" w:bidi="ar"/>
              </w:rPr>
              <w:t>十根胃镜：</w:t>
            </w:r>
          </w:p>
        </w:tc>
        <w:tc>
          <w:tcPr>
            <w:tcW w:w="1813" w:type="dxa"/>
            <w:tcBorders>
              <w:top w:val="nil"/>
              <w:left w:val="nil"/>
              <w:bottom w:val="nil"/>
              <w:right w:val="nil"/>
            </w:tcBorders>
            <w:shd w:val="clear" w:color="auto" w:fill="auto"/>
            <w:noWrap/>
            <w:vAlign w:val="top"/>
          </w:tcPr>
          <w:p w14:paraId="5FA7FD3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Times New Roman" w:hAnsi="Times New Roman" w:eastAsia="宋体" w:cs="宋体"/>
                <w:i w:val="0"/>
                <w:iCs w:val="0"/>
                <w:color w:val="000000"/>
                <w:sz w:val="24"/>
                <w:szCs w:val="22"/>
                <w:u w:val="none"/>
              </w:rPr>
            </w:pPr>
            <w:r>
              <w:rPr>
                <w:rFonts w:hint="eastAsia" w:ascii="Times New Roman" w:hAnsi="Times New Roman" w:eastAsia="宋体" w:cs="宋体"/>
                <w:i w:val="0"/>
                <w:iCs w:val="0"/>
                <w:snapToGrid w:val="0"/>
                <w:color w:val="000000"/>
                <w:kern w:val="0"/>
                <w:sz w:val="24"/>
                <w:szCs w:val="22"/>
                <w:u w:val="none"/>
                <w:lang w:val="en-US" w:eastAsia="zh-CN" w:bidi="ar"/>
              </w:rPr>
              <w:t>GIF-H260</w:t>
            </w:r>
          </w:p>
        </w:tc>
        <w:tc>
          <w:tcPr>
            <w:tcW w:w="4096" w:type="dxa"/>
            <w:tcBorders>
              <w:top w:val="nil"/>
              <w:left w:val="nil"/>
              <w:bottom w:val="nil"/>
              <w:right w:val="nil"/>
            </w:tcBorders>
            <w:shd w:val="clear" w:color="auto" w:fill="auto"/>
            <w:noWrap/>
            <w:vAlign w:val="center"/>
          </w:tcPr>
          <w:p w14:paraId="580C9EB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both"/>
              <w:textAlignment w:val="center"/>
              <w:rPr>
                <w:rFonts w:hint="eastAsia" w:ascii="Times New Roman" w:hAnsi="Times New Roman" w:eastAsia="宋体" w:cs="宋体"/>
                <w:i w:val="0"/>
                <w:iCs w:val="0"/>
                <w:color w:val="000000"/>
                <w:sz w:val="24"/>
                <w:szCs w:val="22"/>
                <w:u w:val="none"/>
              </w:rPr>
            </w:pPr>
            <w:r>
              <w:rPr>
                <w:rFonts w:hint="eastAsia" w:ascii="Times New Roman" w:hAnsi="Times New Roman" w:eastAsia="宋体" w:cs="宋体"/>
                <w:i w:val="0"/>
                <w:iCs w:val="0"/>
                <w:snapToGrid w:val="0"/>
                <w:color w:val="000000"/>
                <w:kern w:val="0"/>
                <w:sz w:val="24"/>
                <w:szCs w:val="22"/>
                <w:u w:val="none"/>
                <w:lang w:val="en-US" w:eastAsia="zh-CN" w:bidi="ar"/>
              </w:rPr>
              <w:t>SN：2668605、2634638、2634608、2625206、2504511</w:t>
            </w:r>
          </w:p>
        </w:tc>
      </w:tr>
      <w:tr w14:paraId="092B0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2191" w:type="dxa"/>
            <w:tcBorders>
              <w:top w:val="nil"/>
              <w:left w:val="nil"/>
              <w:bottom w:val="nil"/>
              <w:right w:val="nil"/>
            </w:tcBorders>
            <w:shd w:val="clear" w:color="auto" w:fill="auto"/>
            <w:noWrap/>
            <w:vAlign w:val="top"/>
          </w:tcPr>
          <w:p w14:paraId="106109E5">
            <w:pPr>
              <w:keepNext w:val="0"/>
              <w:keepLines w:val="0"/>
              <w:pageBreakBefore w:val="0"/>
              <w:widowControl/>
              <w:kinsoku w:val="0"/>
              <w:wordWrap/>
              <w:overflowPunct/>
              <w:topLinePunct w:val="0"/>
              <w:autoSpaceDE w:val="0"/>
              <w:autoSpaceDN w:val="0"/>
              <w:bidi w:val="0"/>
              <w:adjustRightInd w:val="0"/>
              <w:snapToGrid w:val="0"/>
              <w:spacing w:line="240" w:lineRule="auto"/>
              <w:jc w:val="left"/>
              <w:rPr>
                <w:rFonts w:hint="eastAsia" w:ascii="Times New Roman" w:hAnsi="Times New Roman" w:eastAsia="宋体" w:cs="宋体"/>
                <w:i w:val="0"/>
                <w:iCs w:val="0"/>
                <w:color w:val="000000"/>
                <w:sz w:val="24"/>
                <w:szCs w:val="22"/>
                <w:highlight w:val="none"/>
                <w:u w:val="none"/>
              </w:rPr>
            </w:pPr>
          </w:p>
        </w:tc>
        <w:tc>
          <w:tcPr>
            <w:tcW w:w="1813" w:type="dxa"/>
            <w:tcBorders>
              <w:top w:val="nil"/>
              <w:left w:val="nil"/>
              <w:bottom w:val="nil"/>
              <w:right w:val="nil"/>
            </w:tcBorders>
            <w:shd w:val="clear" w:color="auto" w:fill="auto"/>
            <w:noWrap/>
            <w:vAlign w:val="top"/>
          </w:tcPr>
          <w:p w14:paraId="5358CEF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Times New Roman" w:hAnsi="Times New Roman" w:eastAsia="宋体" w:cs="宋体"/>
                <w:i w:val="0"/>
                <w:iCs w:val="0"/>
                <w:color w:val="000000"/>
                <w:sz w:val="24"/>
                <w:szCs w:val="22"/>
                <w:highlight w:val="none"/>
                <w:u w:val="none"/>
              </w:rPr>
            </w:pPr>
            <w:r>
              <w:rPr>
                <w:rFonts w:hint="eastAsia" w:ascii="Times New Roman" w:hAnsi="Times New Roman" w:eastAsia="宋体" w:cs="宋体"/>
                <w:i w:val="0"/>
                <w:iCs w:val="0"/>
                <w:snapToGrid w:val="0"/>
                <w:color w:val="000000"/>
                <w:kern w:val="0"/>
                <w:sz w:val="24"/>
                <w:szCs w:val="22"/>
                <w:highlight w:val="none"/>
                <w:u w:val="none"/>
                <w:lang w:val="en-US" w:eastAsia="zh-CN" w:bidi="ar"/>
              </w:rPr>
              <w:t>GIF-H290</w:t>
            </w:r>
          </w:p>
        </w:tc>
        <w:tc>
          <w:tcPr>
            <w:tcW w:w="4096" w:type="dxa"/>
            <w:tcBorders>
              <w:top w:val="nil"/>
              <w:left w:val="nil"/>
              <w:bottom w:val="nil"/>
              <w:right w:val="nil"/>
            </w:tcBorders>
            <w:shd w:val="clear" w:color="auto" w:fill="auto"/>
            <w:noWrap/>
            <w:vAlign w:val="center"/>
          </w:tcPr>
          <w:p w14:paraId="07109E9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both"/>
              <w:textAlignment w:val="center"/>
              <w:rPr>
                <w:rFonts w:hint="default" w:ascii="Times New Roman" w:hAnsi="Times New Roman" w:eastAsia="宋体" w:cs="宋体"/>
                <w:i w:val="0"/>
                <w:iCs w:val="0"/>
                <w:color w:val="000000"/>
                <w:sz w:val="24"/>
                <w:szCs w:val="22"/>
                <w:highlight w:val="none"/>
                <w:u w:val="none"/>
                <w:lang w:val="en-US"/>
              </w:rPr>
            </w:pPr>
            <w:r>
              <w:rPr>
                <w:rFonts w:hint="eastAsia" w:ascii="Times New Roman" w:hAnsi="Times New Roman" w:eastAsia="宋体" w:cs="宋体"/>
                <w:i w:val="0"/>
                <w:iCs w:val="0"/>
                <w:snapToGrid w:val="0"/>
                <w:color w:val="000000"/>
                <w:kern w:val="0"/>
                <w:sz w:val="24"/>
                <w:szCs w:val="22"/>
                <w:highlight w:val="none"/>
                <w:u w:val="none"/>
                <w:lang w:val="en-US" w:eastAsia="zh-CN" w:bidi="ar"/>
              </w:rPr>
              <w:t>SN：2625041、2625029、2054291、2054277、2054342</w:t>
            </w:r>
          </w:p>
        </w:tc>
      </w:tr>
      <w:tr w14:paraId="43EF8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2191" w:type="dxa"/>
            <w:tcBorders>
              <w:top w:val="nil"/>
              <w:left w:val="nil"/>
              <w:bottom w:val="nil"/>
              <w:right w:val="nil"/>
            </w:tcBorders>
            <w:shd w:val="clear" w:color="auto" w:fill="auto"/>
            <w:noWrap/>
            <w:vAlign w:val="top"/>
          </w:tcPr>
          <w:p w14:paraId="5FB5E3A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Times New Roman" w:hAnsi="Times New Roman" w:eastAsia="宋体" w:cs="宋体"/>
                <w:i w:val="0"/>
                <w:iCs w:val="0"/>
                <w:color w:val="000000"/>
                <w:sz w:val="24"/>
                <w:szCs w:val="22"/>
                <w:highlight w:val="none"/>
                <w:u w:val="none"/>
              </w:rPr>
            </w:pPr>
            <w:r>
              <w:rPr>
                <w:rFonts w:hint="eastAsia" w:ascii="Times New Roman" w:hAnsi="Times New Roman" w:eastAsia="宋体" w:cs="宋体"/>
                <w:i w:val="0"/>
                <w:iCs w:val="0"/>
                <w:snapToGrid w:val="0"/>
                <w:color w:val="000000"/>
                <w:kern w:val="0"/>
                <w:sz w:val="24"/>
                <w:szCs w:val="22"/>
                <w:highlight w:val="none"/>
                <w:u w:val="none"/>
                <w:lang w:val="en-US" w:eastAsia="zh-CN" w:bidi="ar"/>
              </w:rPr>
              <w:t>五根肠镜：</w:t>
            </w:r>
          </w:p>
        </w:tc>
        <w:tc>
          <w:tcPr>
            <w:tcW w:w="1813" w:type="dxa"/>
            <w:tcBorders>
              <w:top w:val="nil"/>
              <w:left w:val="nil"/>
              <w:bottom w:val="nil"/>
              <w:right w:val="nil"/>
            </w:tcBorders>
            <w:shd w:val="clear" w:color="auto" w:fill="auto"/>
            <w:noWrap/>
            <w:vAlign w:val="top"/>
          </w:tcPr>
          <w:p w14:paraId="14A4EB1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Times New Roman" w:hAnsi="Times New Roman" w:eastAsia="宋体" w:cs="宋体"/>
                <w:i w:val="0"/>
                <w:iCs w:val="0"/>
                <w:color w:val="000000"/>
                <w:sz w:val="24"/>
                <w:szCs w:val="22"/>
                <w:highlight w:val="none"/>
                <w:u w:val="none"/>
              </w:rPr>
            </w:pPr>
            <w:r>
              <w:rPr>
                <w:rFonts w:hint="eastAsia" w:ascii="Times New Roman" w:hAnsi="Times New Roman" w:eastAsia="宋体" w:cs="宋体"/>
                <w:i w:val="0"/>
                <w:iCs w:val="0"/>
                <w:snapToGrid w:val="0"/>
                <w:color w:val="000000"/>
                <w:kern w:val="0"/>
                <w:sz w:val="24"/>
                <w:szCs w:val="22"/>
                <w:highlight w:val="none"/>
                <w:u w:val="none"/>
                <w:lang w:val="en-US" w:eastAsia="zh-CN" w:bidi="ar"/>
              </w:rPr>
              <w:t>CF-HQ290I</w:t>
            </w:r>
          </w:p>
        </w:tc>
        <w:tc>
          <w:tcPr>
            <w:tcW w:w="4096" w:type="dxa"/>
            <w:tcBorders>
              <w:top w:val="nil"/>
              <w:left w:val="nil"/>
              <w:bottom w:val="nil"/>
              <w:right w:val="nil"/>
            </w:tcBorders>
            <w:shd w:val="clear" w:color="auto" w:fill="auto"/>
            <w:noWrap/>
            <w:vAlign w:val="center"/>
          </w:tcPr>
          <w:p w14:paraId="782A541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both"/>
              <w:textAlignment w:val="center"/>
              <w:rPr>
                <w:rFonts w:hint="default" w:ascii="Times New Roman" w:hAnsi="Times New Roman" w:eastAsia="宋体" w:cs="宋体"/>
                <w:i w:val="0"/>
                <w:iCs w:val="0"/>
                <w:color w:val="000000"/>
                <w:sz w:val="24"/>
                <w:szCs w:val="22"/>
                <w:highlight w:val="none"/>
                <w:u w:val="none"/>
                <w:lang w:val="en-US"/>
              </w:rPr>
            </w:pPr>
            <w:r>
              <w:rPr>
                <w:rFonts w:hint="eastAsia" w:ascii="Times New Roman" w:hAnsi="Times New Roman" w:eastAsia="宋体" w:cs="宋体"/>
                <w:i w:val="0"/>
                <w:iCs w:val="0"/>
                <w:snapToGrid w:val="0"/>
                <w:color w:val="000000"/>
                <w:kern w:val="0"/>
                <w:sz w:val="24"/>
                <w:szCs w:val="22"/>
                <w:highlight w:val="none"/>
                <w:u w:val="none"/>
                <w:lang w:val="en-US" w:eastAsia="zh-CN" w:bidi="ar"/>
              </w:rPr>
              <w:t>SN：2612911、2612908、2258704</w:t>
            </w:r>
          </w:p>
        </w:tc>
      </w:tr>
      <w:tr w14:paraId="0E313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2191" w:type="dxa"/>
            <w:tcBorders>
              <w:top w:val="nil"/>
              <w:left w:val="nil"/>
              <w:bottom w:val="nil"/>
              <w:right w:val="nil"/>
            </w:tcBorders>
            <w:shd w:val="clear" w:color="auto" w:fill="auto"/>
            <w:noWrap/>
            <w:vAlign w:val="top"/>
          </w:tcPr>
          <w:p w14:paraId="1C877B6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Times New Roman" w:hAnsi="Times New Roman" w:eastAsia="宋体" w:cs="宋体"/>
                <w:i w:val="0"/>
                <w:iCs w:val="0"/>
                <w:snapToGrid w:val="0"/>
                <w:color w:val="000000"/>
                <w:kern w:val="0"/>
                <w:sz w:val="24"/>
                <w:szCs w:val="22"/>
                <w:highlight w:val="none"/>
                <w:u w:val="none"/>
                <w:lang w:val="en-US" w:eastAsia="zh-CN" w:bidi="ar"/>
              </w:rPr>
            </w:pPr>
          </w:p>
        </w:tc>
        <w:tc>
          <w:tcPr>
            <w:tcW w:w="1813" w:type="dxa"/>
            <w:tcBorders>
              <w:top w:val="nil"/>
              <w:left w:val="nil"/>
              <w:bottom w:val="nil"/>
              <w:right w:val="nil"/>
            </w:tcBorders>
            <w:shd w:val="clear" w:color="auto" w:fill="auto"/>
            <w:noWrap/>
            <w:vAlign w:val="top"/>
          </w:tcPr>
          <w:p w14:paraId="053E6AF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Times New Roman" w:hAnsi="Times New Roman" w:eastAsia="宋体" w:cs="宋体"/>
                <w:i w:val="0"/>
                <w:iCs w:val="0"/>
                <w:snapToGrid w:val="0"/>
                <w:color w:val="000000"/>
                <w:kern w:val="0"/>
                <w:sz w:val="24"/>
                <w:szCs w:val="22"/>
                <w:highlight w:val="none"/>
                <w:u w:val="none"/>
                <w:lang w:val="en-US" w:eastAsia="zh-CN" w:bidi="ar"/>
              </w:rPr>
            </w:pPr>
            <w:r>
              <w:rPr>
                <w:rFonts w:hint="eastAsia" w:ascii="Times New Roman" w:hAnsi="Times New Roman" w:eastAsia="宋体" w:cs="宋体"/>
                <w:i w:val="0"/>
                <w:iCs w:val="0"/>
                <w:snapToGrid w:val="0"/>
                <w:color w:val="000000"/>
                <w:kern w:val="0"/>
                <w:sz w:val="24"/>
                <w:szCs w:val="22"/>
                <w:highlight w:val="none"/>
                <w:u w:val="none"/>
                <w:lang w:val="en-US" w:eastAsia="zh-CN" w:bidi="ar"/>
              </w:rPr>
              <w:t>CF-H290I</w:t>
            </w:r>
          </w:p>
        </w:tc>
        <w:tc>
          <w:tcPr>
            <w:tcW w:w="4096" w:type="dxa"/>
            <w:tcBorders>
              <w:top w:val="nil"/>
              <w:left w:val="nil"/>
              <w:bottom w:val="nil"/>
              <w:right w:val="nil"/>
            </w:tcBorders>
            <w:shd w:val="clear" w:color="auto" w:fill="auto"/>
            <w:noWrap/>
            <w:vAlign w:val="center"/>
          </w:tcPr>
          <w:p w14:paraId="07FDF48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both"/>
              <w:textAlignment w:val="center"/>
              <w:rPr>
                <w:rFonts w:hint="default" w:ascii="Times New Roman" w:hAnsi="Times New Roman" w:eastAsia="宋体" w:cs="宋体"/>
                <w:i w:val="0"/>
                <w:iCs w:val="0"/>
                <w:snapToGrid w:val="0"/>
                <w:color w:val="000000"/>
                <w:kern w:val="0"/>
                <w:sz w:val="24"/>
                <w:szCs w:val="22"/>
                <w:highlight w:val="none"/>
                <w:u w:val="none"/>
                <w:lang w:val="en-US" w:eastAsia="zh-CN" w:bidi="ar"/>
              </w:rPr>
            </w:pPr>
            <w:r>
              <w:rPr>
                <w:rFonts w:hint="eastAsia" w:ascii="Times New Roman" w:hAnsi="Times New Roman" w:eastAsia="宋体" w:cs="宋体"/>
                <w:i w:val="0"/>
                <w:iCs w:val="0"/>
                <w:snapToGrid w:val="0"/>
                <w:color w:val="000000"/>
                <w:kern w:val="0"/>
                <w:sz w:val="24"/>
                <w:szCs w:val="22"/>
                <w:highlight w:val="none"/>
                <w:u w:val="none"/>
                <w:lang w:val="en-US" w:eastAsia="zh-CN" w:bidi="ar"/>
              </w:rPr>
              <w:t>SN：2250484、2250510</w:t>
            </w:r>
          </w:p>
        </w:tc>
      </w:tr>
      <w:tr w14:paraId="30EC3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2191" w:type="dxa"/>
            <w:tcBorders>
              <w:top w:val="nil"/>
              <w:left w:val="nil"/>
              <w:bottom w:val="nil"/>
              <w:right w:val="nil"/>
            </w:tcBorders>
            <w:shd w:val="clear" w:color="auto" w:fill="auto"/>
            <w:noWrap/>
            <w:vAlign w:val="top"/>
          </w:tcPr>
          <w:p w14:paraId="244151D7">
            <w:pPr>
              <w:keepNext w:val="0"/>
              <w:keepLines w:val="0"/>
              <w:pageBreakBefore w:val="0"/>
              <w:widowControl/>
              <w:kinsoku w:val="0"/>
              <w:wordWrap/>
              <w:overflowPunct/>
              <w:topLinePunct w:val="0"/>
              <w:autoSpaceDE w:val="0"/>
              <w:autoSpaceDN w:val="0"/>
              <w:bidi w:val="0"/>
              <w:adjustRightInd w:val="0"/>
              <w:snapToGrid w:val="0"/>
              <w:spacing w:line="240" w:lineRule="auto"/>
              <w:jc w:val="left"/>
              <w:rPr>
                <w:rFonts w:hint="eastAsia" w:ascii="Times New Roman" w:hAnsi="Times New Roman" w:eastAsia="宋体" w:cs="宋体"/>
                <w:i w:val="0"/>
                <w:iCs w:val="0"/>
                <w:color w:val="000000"/>
                <w:sz w:val="24"/>
                <w:szCs w:val="22"/>
                <w:u w:val="none"/>
              </w:rPr>
            </w:pPr>
          </w:p>
        </w:tc>
        <w:tc>
          <w:tcPr>
            <w:tcW w:w="1813" w:type="dxa"/>
            <w:tcBorders>
              <w:top w:val="nil"/>
              <w:left w:val="nil"/>
              <w:bottom w:val="nil"/>
              <w:right w:val="nil"/>
            </w:tcBorders>
            <w:shd w:val="clear" w:color="auto" w:fill="auto"/>
            <w:noWrap/>
            <w:vAlign w:val="top"/>
          </w:tcPr>
          <w:p w14:paraId="6E88A81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Times New Roman" w:hAnsi="Times New Roman" w:eastAsia="宋体" w:cs="宋体"/>
                <w:i w:val="0"/>
                <w:iCs w:val="0"/>
                <w:color w:val="000000"/>
                <w:sz w:val="24"/>
                <w:szCs w:val="22"/>
                <w:u w:val="none"/>
              </w:rPr>
            </w:pPr>
            <w:r>
              <w:rPr>
                <w:rFonts w:hint="eastAsia" w:ascii="Times New Roman" w:hAnsi="Times New Roman" w:eastAsia="宋体" w:cs="宋体"/>
                <w:i w:val="0"/>
                <w:iCs w:val="0"/>
                <w:snapToGrid w:val="0"/>
                <w:color w:val="000000"/>
                <w:kern w:val="0"/>
                <w:sz w:val="24"/>
                <w:szCs w:val="22"/>
                <w:u w:val="none"/>
                <w:lang w:val="en-US" w:eastAsia="zh-CN" w:bidi="ar"/>
              </w:rPr>
              <w:t>PCF-Q260AZI</w:t>
            </w:r>
          </w:p>
        </w:tc>
        <w:tc>
          <w:tcPr>
            <w:tcW w:w="4096" w:type="dxa"/>
            <w:tcBorders>
              <w:top w:val="nil"/>
              <w:left w:val="nil"/>
              <w:bottom w:val="nil"/>
              <w:right w:val="nil"/>
            </w:tcBorders>
            <w:shd w:val="clear" w:color="auto" w:fill="auto"/>
            <w:noWrap/>
            <w:vAlign w:val="center"/>
          </w:tcPr>
          <w:p w14:paraId="09E5DB4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both"/>
              <w:textAlignment w:val="center"/>
              <w:rPr>
                <w:rFonts w:hint="eastAsia" w:ascii="Times New Roman" w:hAnsi="Times New Roman" w:eastAsia="宋体" w:cs="宋体"/>
                <w:i w:val="0"/>
                <w:iCs w:val="0"/>
                <w:color w:val="000000"/>
                <w:sz w:val="24"/>
                <w:szCs w:val="22"/>
                <w:u w:val="none"/>
              </w:rPr>
            </w:pPr>
            <w:r>
              <w:rPr>
                <w:rFonts w:hint="eastAsia" w:ascii="Times New Roman" w:hAnsi="Times New Roman" w:eastAsia="宋体" w:cs="宋体"/>
                <w:i w:val="0"/>
                <w:iCs w:val="0"/>
                <w:snapToGrid w:val="0"/>
                <w:color w:val="000000"/>
                <w:kern w:val="0"/>
                <w:sz w:val="24"/>
                <w:szCs w:val="22"/>
                <w:u w:val="none"/>
                <w:lang w:val="en-US" w:eastAsia="zh-CN" w:bidi="ar"/>
              </w:rPr>
              <w:t>SN：2502830</w:t>
            </w:r>
          </w:p>
        </w:tc>
      </w:tr>
      <w:tr w14:paraId="1B67E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2191" w:type="dxa"/>
            <w:tcBorders>
              <w:top w:val="nil"/>
              <w:left w:val="nil"/>
              <w:bottom w:val="nil"/>
              <w:right w:val="nil"/>
            </w:tcBorders>
            <w:shd w:val="clear" w:color="auto" w:fill="auto"/>
            <w:noWrap/>
            <w:vAlign w:val="top"/>
          </w:tcPr>
          <w:p w14:paraId="6E0A958B">
            <w:pPr>
              <w:keepNext w:val="0"/>
              <w:keepLines w:val="0"/>
              <w:pageBreakBefore w:val="0"/>
              <w:widowControl/>
              <w:kinsoku w:val="0"/>
              <w:wordWrap/>
              <w:overflowPunct/>
              <w:topLinePunct w:val="0"/>
              <w:autoSpaceDE w:val="0"/>
              <w:autoSpaceDN w:val="0"/>
              <w:bidi w:val="0"/>
              <w:adjustRightInd w:val="0"/>
              <w:snapToGrid w:val="0"/>
              <w:spacing w:line="240" w:lineRule="auto"/>
              <w:jc w:val="left"/>
              <w:rPr>
                <w:rFonts w:hint="eastAsia" w:ascii="Times New Roman" w:hAnsi="Times New Roman" w:eastAsia="宋体" w:cs="宋体"/>
                <w:i w:val="0"/>
                <w:iCs w:val="0"/>
                <w:color w:val="000000"/>
                <w:sz w:val="24"/>
                <w:szCs w:val="22"/>
                <w:u w:val="none"/>
              </w:rPr>
            </w:pPr>
          </w:p>
        </w:tc>
        <w:tc>
          <w:tcPr>
            <w:tcW w:w="1813" w:type="dxa"/>
            <w:tcBorders>
              <w:top w:val="nil"/>
              <w:left w:val="nil"/>
              <w:bottom w:val="nil"/>
              <w:right w:val="nil"/>
            </w:tcBorders>
            <w:shd w:val="clear" w:color="auto" w:fill="auto"/>
            <w:noWrap/>
            <w:vAlign w:val="top"/>
          </w:tcPr>
          <w:p w14:paraId="32E39DA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Times New Roman" w:hAnsi="Times New Roman" w:eastAsia="宋体" w:cs="宋体"/>
                <w:i w:val="0"/>
                <w:iCs w:val="0"/>
                <w:color w:val="000000"/>
                <w:sz w:val="24"/>
                <w:szCs w:val="22"/>
                <w:u w:val="none"/>
              </w:rPr>
            </w:pPr>
            <w:r>
              <w:rPr>
                <w:rFonts w:hint="eastAsia" w:ascii="Times New Roman" w:hAnsi="Times New Roman" w:eastAsia="宋体" w:cs="宋体"/>
                <w:i w:val="0"/>
                <w:iCs w:val="0"/>
                <w:snapToGrid w:val="0"/>
                <w:color w:val="000000"/>
                <w:kern w:val="0"/>
                <w:sz w:val="24"/>
                <w:szCs w:val="22"/>
                <w:u w:val="none"/>
                <w:lang w:val="en-US" w:eastAsia="zh-CN" w:bidi="ar"/>
              </w:rPr>
              <w:t>CF-H260AI</w:t>
            </w:r>
          </w:p>
        </w:tc>
        <w:tc>
          <w:tcPr>
            <w:tcW w:w="4096" w:type="dxa"/>
            <w:tcBorders>
              <w:top w:val="nil"/>
              <w:left w:val="nil"/>
              <w:bottom w:val="nil"/>
              <w:right w:val="nil"/>
            </w:tcBorders>
            <w:shd w:val="clear" w:color="auto" w:fill="auto"/>
            <w:noWrap/>
            <w:vAlign w:val="center"/>
          </w:tcPr>
          <w:p w14:paraId="58D2A4E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both"/>
              <w:textAlignment w:val="center"/>
              <w:rPr>
                <w:rFonts w:hint="eastAsia" w:ascii="Times New Roman" w:hAnsi="Times New Roman" w:eastAsia="宋体" w:cs="宋体"/>
                <w:i w:val="0"/>
                <w:iCs w:val="0"/>
                <w:color w:val="000000"/>
                <w:sz w:val="24"/>
                <w:szCs w:val="22"/>
                <w:u w:val="none"/>
              </w:rPr>
            </w:pPr>
            <w:r>
              <w:rPr>
                <w:rFonts w:hint="eastAsia" w:ascii="Times New Roman" w:hAnsi="Times New Roman" w:eastAsia="宋体" w:cs="宋体"/>
                <w:i w:val="0"/>
                <w:iCs w:val="0"/>
                <w:snapToGrid w:val="0"/>
                <w:color w:val="000000"/>
                <w:kern w:val="0"/>
                <w:sz w:val="24"/>
                <w:szCs w:val="22"/>
                <w:u w:val="none"/>
                <w:lang w:val="en-US" w:eastAsia="zh-CN" w:bidi="ar"/>
              </w:rPr>
              <w:t>SN：2027904、2027902</w:t>
            </w:r>
          </w:p>
        </w:tc>
      </w:tr>
      <w:tr w14:paraId="28DD9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2191" w:type="dxa"/>
            <w:tcBorders>
              <w:top w:val="nil"/>
              <w:left w:val="nil"/>
              <w:bottom w:val="nil"/>
              <w:right w:val="nil"/>
            </w:tcBorders>
            <w:shd w:val="clear" w:color="auto" w:fill="auto"/>
            <w:noWrap/>
            <w:vAlign w:val="top"/>
          </w:tcPr>
          <w:p w14:paraId="21DE4C82">
            <w:pPr>
              <w:keepNext w:val="0"/>
              <w:keepLines w:val="0"/>
              <w:pageBreakBefore w:val="0"/>
              <w:widowControl/>
              <w:kinsoku w:val="0"/>
              <w:wordWrap/>
              <w:overflowPunct/>
              <w:topLinePunct w:val="0"/>
              <w:autoSpaceDE w:val="0"/>
              <w:autoSpaceDN w:val="0"/>
              <w:bidi w:val="0"/>
              <w:adjustRightInd w:val="0"/>
              <w:snapToGrid w:val="0"/>
              <w:spacing w:line="240" w:lineRule="auto"/>
              <w:jc w:val="left"/>
              <w:rPr>
                <w:rFonts w:hint="default" w:ascii="Times New Roman" w:hAnsi="Times New Roman" w:eastAsia="宋体" w:cs="宋体"/>
                <w:i w:val="0"/>
                <w:iCs w:val="0"/>
                <w:color w:val="000000"/>
                <w:sz w:val="24"/>
                <w:szCs w:val="22"/>
                <w:highlight w:val="none"/>
                <w:u w:val="none"/>
                <w:lang w:val="en-US" w:eastAsia="zh-CN"/>
              </w:rPr>
            </w:pPr>
            <w:r>
              <w:rPr>
                <w:rFonts w:hint="eastAsia" w:ascii="Times New Roman" w:hAnsi="Times New Roman" w:eastAsia="宋体" w:cs="宋体"/>
                <w:i w:val="0"/>
                <w:iCs w:val="0"/>
                <w:color w:val="000000"/>
                <w:sz w:val="24"/>
                <w:szCs w:val="22"/>
                <w:highlight w:val="none"/>
                <w:u w:val="none"/>
                <w:lang w:val="en-US" w:eastAsia="zh-CN"/>
              </w:rPr>
              <w:t>两根十二指肠镜：</w:t>
            </w:r>
          </w:p>
        </w:tc>
        <w:tc>
          <w:tcPr>
            <w:tcW w:w="1813" w:type="dxa"/>
            <w:tcBorders>
              <w:top w:val="nil"/>
              <w:left w:val="nil"/>
              <w:bottom w:val="nil"/>
              <w:right w:val="nil"/>
            </w:tcBorders>
            <w:shd w:val="clear" w:color="auto" w:fill="auto"/>
            <w:noWrap/>
            <w:vAlign w:val="top"/>
          </w:tcPr>
          <w:p w14:paraId="53E4FA7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default" w:ascii="Times New Roman" w:hAnsi="Times New Roman" w:eastAsia="宋体" w:cs="宋体"/>
                <w:i w:val="0"/>
                <w:iCs w:val="0"/>
                <w:snapToGrid w:val="0"/>
                <w:color w:val="000000"/>
                <w:kern w:val="0"/>
                <w:sz w:val="24"/>
                <w:szCs w:val="22"/>
                <w:highlight w:val="none"/>
                <w:u w:val="none"/>
                <w:lang w:val="en-US" w:eastAsia="zh-CN" w:bidi="ar"/>
              </w:rPr>
            </w:pPr>
            <w:r>
              <w:rPr>
                <w:rFonts w:hint="eastAsia" w:ascii="Times New Roman" w:hAnsi="Times New Roman" w:eastAsia="宋体" w:cs="宋体"/>
                <w:i w:val="0"/>
                <w:iCs w:val="0"/>
                <w:snapToGrid w:val="0"/>
                <w:color w:val="000000"/>
                <w:kern w:val="0"/>
                <w:sz w:val="24"/>
                <w:szCs w:val="22"/>
                <w:highlight w:val="none"/>
                <w:u w:val="none"/>
                <w:lang w:val="en-US" w:eastAsia="zh-CN" w:bidi="ar"/>
              </w:rPr>
              <w:t>TJF-260V</w:t>
            </w:r>
          </w:p>
        </w:tc>
        <w:tc>
          <w:tcPr>
            <w:tcW w:w="4096" w:type="dxa"/>
            <w:tcBorders>
              <w:top w:val="nil"/>
              <w:left w:val="nil"/>
              <w:bottom w:val="nil"/>
              <w:right w:val="nil"/>
            </w:tcBorders>
            <w:shd w:val="clear" w:color="auto" w:fill="auto"/>
            <w:noWrap/>
            <w:vAlign w:val="center"/>
          </w:tcPr>
          <w:p w14:paraId="3D31A7A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both"/>
              <w:textAlignment w:val="center"/>
              <w:rPr>
                <w:rFonts w:hint="default" w:ascii="Times New Roman" w:hAnsi="Times New Roman" w:eastAsia="宋体" w:cs="宋体"/>
                <w:i w:val="0"/>
                <w:iCs w:val="0"/>
                <w:snapToGrid w:val="0"/>
                <w:color w:val="000000"/>
                <w:kern w:val="0"/>
                <w:sz w:val="24"/>
                <w:szCs w:val="22"/>
                <w:highlight w:val="none"/>
                <w:u w:val="none"/>
                <w:lang w:val="en-US" w:eastAsia="zh-CN" w:bidi="ar"/>
              </w:rPr>
            </w:pPr>
            <w:r>
              <w:rPr>
                <w:rFonts w:hint="eastAsia" w:ascii="Times New Roman" w:hAnsi="Times New Roman" w:eastAsia="宋体" w:cs="宋体"/>
                <w:i w:val="0"/>
                <w:iCs w:val="0"/>
                <w:snapToGrid w:val="0"/>
                <w:color w:val="000000"/>
                <w:kern w:val="0"/>
                <w:sz w:val="24"/>
                <w:szCs w:val="22"/>
                <w:highlight w:val="none"/>
                <w:u w:val="none"/>
                <w:lang w:val="en-US" w:eastAsia="zh-CN" w:bidi="ar"/>
              </w:rPr>
              <w:t>SN：2226028</w:t>
            </w:r>
          </w:p>
        </w:tc>
      </w:tr>
      <w:tr w14:paraId="3FA14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2191" w:type="dxa"/>
            <w:tcBorders>
              <w:top w:val="nil"/>
              <w:left w:val="nil"/>
              <w:bottom w:val="nil"/>
              <w:right w:val="nil"/>
            </w:tcBorders>
            <w:shd w:val="clear" w:color="auto" w:fill="auto"/>
            <w:noWrap/>
            <w:vAlign w:val="top"/>
          </w:tcPr>
          <w:p w14:paraId="524521E5">
            <w:pPr>
              <w:keepNext w:val="0"/>
              <w:keepLines w:val="0"/>
              <w:pageBreakBefore w:val="0"/>
              <w:widowControl/>
              <w:kinsoku w:val="0"/>
              <w:wordWrap/>
              <w:overflowPunct/>
              <w:topLinePunct w:val="0"/>
              <w:autoSpaceDE w:val="0"/>
              <w:autoSpaceDN w:val="0"/>
              <w:bidi w:val="0"/>
              <w:adjustRightInd w:val="0"/>
              <w:snapToGrid w:val="0"/>
              <w:spacing w:line="240" w:lineRule="auto"/>
              <w:jc w:val="left"/>
              <w:rPr>
                <w:rFonts w:hint="eastAsia" w:ascii="Times New Roman" w:hAnsi="Times New Roman" w:eastAsia="宋体" w:cs="宋体"/>
                <w:i w:val="0"/>
                <w:iCs w:val="0"/>
                <w:color w:val="000000"/>
                <w:sz w:val="24"/>
                <w:szCs w:val="22"/>
                <w:highlight w:val="none"/>
                <w:u w:val="none"/>
              </w:rPr>
            </w:pPr>
          </w:p>
        </w:tc>
        <w:tc>
          <w:tcPr>
            <w:tcW w:w="1813" w:type="dxa"/>
            <w:tcBorders>
              <w:top w:val="nil"/>
              <w:left w:val="nil"/>
              <w:bottom w:val="nil"/>
              <w:right w:val="nil"/>
            </w:tcBorders>
            <w:shd w:val="clear" w:color="auto" w:fill="auto"/>
            <w:noWrap/>
            <w:vAlign w:val="top"/>
          </w:tcPr>
          <w:p w14:paraId="1673025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default" w:ascii="Times New Roman" w:hAnsi="Times New Roman" w:eastAsia="宋体" w:cs="宋体"/>
                <w:i w:val="0"/>
                <w:iCs w:val="0"/>
                <w:snapToGrid w:val="0"/>
                <w:color w:val="000000"/>
                <w:kern w:val="0"/>
                <w:sz w:val="24"/>
                <w:szCs w:val="22"/>
                <w:highlight w:val="none"/>
                <w:u w:val="none"/>
                <w:lang w:val="en-US" w:eastAsia="zh-CN" w:bidi="ar"/>
              </w:rPr>
            </w:pPr>
            <w:r>
              <w:rPr>
                <w:rFonts w:hint="eastAsia" w:ascii="Times New Roman" w:hAnsi="Times New Roman" w:eastAsia="宋体" w:cs="宋体"/>
                <w:i w:val="0"/>
                <w:iCs w:val="0"/>
                <w:snapToGrid w:val="0"/>
                <w:color w:val="000000"/>
                <w:kern w:val="0"/>
                <w:sz w:val="24"/>
                <w:szCs w:val="22"/>
                <w:highlight w:val="none"/>
                <w:u w:val="none"/>
                <w:lang w:val="en-US" w:eastAsia="zh-CN" w:bidi="ar"/>
              </w:rPr>
              <w:t>SIF-Q260</w:t>
            </w:r>
          </w:p>
        </w:tc>
        <w:tc>
          <w:tcPr>
            <w:tcW w:w="4096" w:type="dxa"/>
            <w:tcBorders>
              <w:top w:val="nil"/>
              <w:left w:val="nil"/>
              <w:bottom w:val="nil"/>
              <w:right w:val="nil"/>
            </w:tcBorders>
            <w:shd w:val="clear" w:color="auto" w:fill="auto"/>
            <w:noWrap/>
            <w:vAlign w:val="center"/>
          </w:tcPr>
          <w:p w14:paraId="15ABFF0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both"/>
              <w:textAlignment w:val="center"/>
              <w:rPr>
                <w:rFonts w:hint="default" w:ascii="Times New Roman" w:hAnsi="Times New Roman" w:eastAsia="宋体" w:cs="宋体"/>
                <w:i w:val="0"/>
                <w:iCs w:val="0"/>
                <w:snapToGrid w:val="0"/>
                <w:color w:val="000000"/>
                <w:kern w:val="0"/>
                <w:sz w:val="24"/>
                <w:szCs w:val="22"/>
                <w:highlight w:val="none"/>
                <w:u w:val="none"/>
                <w:lang w:val="en-US" w:eastAsia="zh-CN" w:bidi="ar"/>
              </w:rPr>
            </w:pPr>
            <w:r>
              <w:rPr>
                <w:rFonts w:hint="eastAsia" w:ascii="Times New Roman" w:hAnsi="Times New Roman" w:eastAsia="宋体" w:cs="宋体"/>
                <w:i w:val="0"/>
                <w:iCs w:val="0"/>
                <w:snapToGrid w:val="0"/>
                <w:color w:val="000000"/>
                <w:kern w:val="0"/>
                <w:sz w:val="24"/>
                <w:szCs w:val="22"/>
                <w:highlight w:val="none"/>
                <w:u w:val="none"/>
                <w:lang w:val="en-US" w:eastAsia="zh-CN" w:bidi="ar"/>
              </w:rPr>
              <w:t>SN：2800227</w:t>
            </w:r>
          </w:p>
        </w:tc>
      </w:tr>
      <w:tr w14:paraId="7F7E8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2191" w:type="dxa"/>
            <w:tcBorders>
              <w:top w:val="nil"/>
              <w:left w:val="nil"/>
              <w:bottom w:val="nil"/>
              <w:right w:val="nil"/>
            </w:tcBorders>
            <w:shd w:val="clear" w:color="auto" w:fill="auto"/>
            <w:noWrap/>
            <w:vAlign w:val="top"/>
          </w:tcPr>
          <w:p w14:paraId="227E561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Times New Roman" w:hAnsi="Times New Roman" w:eastAsia="宋体" w:cs="宋体"/>
                <w:i w:val="0"/>
                <w:iCs w:val="0"/>
                <w:color w:val="000000"/>
                <w:sz w:val="24"/>
                <w:szCs w:val="22"/>
                <w:u w:val="none"/>
              </w:rPr>
            </w:pPr>
            <w:r>
              <w:rPr>
                <w:rFonts w:hint="eastAsia" w:ascii="Times New Roman" w:hAnsi="Times New Roman" w:eastAsia="宋体" w:cs="宋体"/>
                <w:i w:val="0"/>
                <w:iCs w:val="0"/>
                <w:snapToGrid w:val="0"/>
                <w:color w:val="000000"/>
                <w:kern w:val="0"/>
                <w:sz w:val="24"/>
                <w:szCs w:val="22"/>
                <w:u w:val="none"/>
                <w:lang w:val="en-US" w:eastAsia="zh-CN" w:bidi="ar"/>
              </w:rPr>
              <w:t>内镜主机：</w:t>
            </w:r>
          </w:p>
        </w:tc>
        <w:tc>
          <w:tcPr>
            <w:tcW w:w="1813" w:type="dxa"/>
            <w:tcBorders>
              <w:top w:val="nil"/>
              <w:left w:val="nil"/>
              <w:bottom w:val="nil"/>
              <w:right w:val="nil"/>
            </w:tcBorders>
            <w:shd w:val="clear" w:color="auto" w:fill="auto"/>
            <w:noWrap/>
            <w:vAlign w:val="top"/>
          </w:tcPr>
          <w:p w14:paraId="4272663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Times New Roman" w:hAnsi="Times New Roman" w:eastAsia="宋体" w:cs="宋体"/>
                <w:i w:val="0"/>
                <w:iCs w:val="0"/>
                <w:color w:val="000000"/>
                <w:sz w:val="24"/>
                <w:szCs w:val="22"/>
                <w:u w:val="none"/>
              </w:rPr>
            </w:pPr>
            <w:r>
              <w:rPr>
                <w:rFonts w:hint="eastAsia" w:ascii="Times New Roman" w:hAnsi="Times New Roman" w:eastAsia="宋体" w:cs="宋体"/>
                <w:i w:val="0"/>
                <w:iCs w:val="0"/>
                <w:snapToGrid w:val="0"/>
                <w:color w:val="000000"/>
                <w:kern w:val="0"/>
                <w:sz w:val="24"/>
                <w:szCs w:val="22"/>
                <w:u w:val="none"/>
                <w:lang w:val="en-US" w:eastAsia="zh-CN" w:bidi="ar"/>
              </w:rPr>
              <w:t>CV-290</w:t>
            </w:r>
          </w:p>
        </w:tc>
        <w:tc>
          <w:tcPr>
            <w:tcW w:w="4096" w:type="dxa"/>
            <w:tcBorders>
              <w:top w:val="nil"/>
              <w:left w:val="nil"/>
              <w:bottom w:val="nil"/>
              <w:right w:val="nil"/>
            </w:tcBorders>
            <w:shd w:val="clear" w:color="auto" w:fill="auto"/>
            <w:noWrap/>
            <w:vAlign w:val="center"/>
          </w:tcPr>
          <w:p w14:paraId="57E4FFC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both"/>
              <w:textAlignment w:val="center"/>
              <w:rPr>
                <w:rFonts w:hint="default" w:ascii="Times New Roman" w:hAnsi="Times New Roman" w:eastAsia="宋体" w:cs="宋体"/>
                <w:i w:val="0"/>
                <w:iCs w:val="0"/>
                <w:color w:val="000000"/>
                <w:sz w:val="24"/>
                <w:szCs w:val="22"/>
                <w:u w:val="none"/>
                <w:lang w:val="en-US"/>
              </w:rPr>
            </w:pPr>
            <w:r>
              <w:rPr>
                <w:rFonts w:hint="eastAsia" w:ascii="Times New Roman" w:hAnsi="Times New Roman" w:eastAsia="宋体" w:cs="宋体"/>
                <w:i w:val="0"/>
                <w:iCs w:val="0"/>
                <w:snapToGrid w:val="0"/>
                <w:color w:val="000000"/>
                <w:kern w:val="0"/>
                <w:sz w:val="24"/>
                <w:szCs w:val="22"/>
                <w:u w:val="none"/>
                <w:lang w:val="en-US" w:eastAsia="zh-CN" w:bidi="ar"/>
              </w:rPr>
              <w:t>SN：7602077、7247792</w:t>
            </w:r>
          </w:p>
        </w:tc>
      </w:tr>
      <w:tr w14:paraId="0B5F8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2191" w:type="dxa"/>
            <w:tcBorders>
              <w:top w:val="nil"/>
              <w:left w:val="nil"/>
              <w:bottom w:val="nil"/>
              <w:right w:val="nil"/>
            </w:tcBorders>
            <w:shd w:val="clear" w:color="auto" w:fill="auto"/>
            <w:noWrap/>
            <w:vAlign w:val="top"/>
          </w:tcPr>
          <w:p w14:paraId="6AA5451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Times New Roman" w:hAnsi="Times New Roman" w:eastAsia="宋体" w:cs="宋体"/>
                <w:i w:val="0"/>
                <w:iCs w:val="0"/>
                <w:color w:val="000000"/>
                <w:sz w:val="24"/>
                <w:szCs w:val="22"/>
                <w:u w:val="none"/>
              </w:rPr>
            </w:pPr>
            <w:r>
              <w:rPr>
                <w:rFonts w:hint="eastAsia" w:ascii="Times New Roman" w:hAnsi="Times New Roman" w:eastAsia="宋体" w:cs="宋体"/>
                <w:i w:val="0"/>
                <w:iCs w:val="0"/>
                <w:snapToGrid w:val="0"/>
                <w:color w:val="000000"/>
                <w:kern w:val="0"/>
                <w:sz w:val="24"/>
                <w:szCs w:val="22"/>
                <w:u w:val="none"/>
                <w:lang w:val="en-US" w:eastAsia="zh-CN" w:bidi="ar"/>
              </w:rPr>
              <w:t>内镜光源：</w:t>
            </w:r>
          </w:p>
        </w:tc>
        <w:tc>
          <w:tcPr>
            <w:tcW w:w="1813" w:type="dxa"/>
            <w:tcBorders>
              <w:top w:val="nil"/>
              <w:left w:val="nil"/>
              <w:bottom w:val="nil"/>
              <w:right w:val="nil"/>
            </w:tcBorders>
            <w:shd w:val="clear" w:color="auto" w:fill="auto"/>
            <w:noWrap/>
            <w:vAlign w:val="top"/>
          </w:tcPr>
          <w:p w14:paraId="385021C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Times New Roman" w:hAnsi="Times New Roman" w:eastAsia="宋体" w:cs="宋体"/>
                <w:i w:val="0"/>
                <w:iCs w:val="0"/>
                <w:color w:val="000000"/>
                <w:sz w:val="24"/>
                <w:szCs w:val="22"/>
                <w:u w:val="none"/>
              </w:rPr>
            </w:pPr>
            <w:r>
              <w:rPr>
                <w:rFonts w:hint="eastAsia" w:ascii="Times New Roman" w:hAnsi="Times New Roman" w:eastAsia="宋体" w:cs="宋体"/>
                <w:i w:val="0"/>
                <w:iCs w:val="0"/>
                <w:snapToGrid w:val="0"/>
                <w:color w:val="000000"/>
                <w:kern w:val="0"/>
                <w:sz w:val="24"/>
                <w:szCs w:val="22"/>
                <w:u w:val="none"/>
                <w:lang w:val="en-US" w:eastAsia="zh-CN" w:bidi="ar"/>
              </w:rPr>
              <w:t>CLV-290SL</w:t>
            </w:r>
          </w:p>
        </w:tc>
        <w:tc>
          <w:tcPr>
            <w:tcW w:w="4096" w:type="dxa"/>
            <w:tcBorders>
              <w:top w:val="nil"/>
              <w:left w:val="nil"/>
              <w:bottom w:val="nil"/>
              <w:right w:val="nil"/>
            </w:tcBorders>
            <w:shd w:val="clear" w:color="auto" w:fill="auto"/>
            <w:noWrap/>
            <w:vAlign w:val="center"/>
          </w:tcPr>
          <w:p w14:paraId="2679B39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both"/>
              <w:textAlignment w:val="center"/>
              <w:rPr>
                <w:rFonts w:hint="default" w:ascii="Times New Roman" w:hAnsi="Times New Roman" w:eastAsia="宋体" w:cs="宋体"/>
                <w:i w:val="0"/>
                <w:iCs w:val="0"/>
                <w:color w:val="000000"/>
                <w:sz w:val="24"/>
                <w:szCs w:val="22"/>
                <w:u w:val="none"/>
                <w:lang w:val="en-US"/>
              </w:rPr>
            </w:pPr>
            <w:r>
              <w:rPr>
                <w:rFonts w:hint="eastAsia" w:ascii="Times New Roman" w:hAnsi="Times New Roman" w:eastAsia="宋体" w:cs="宋体"/>
                <w:i w:val="0"/>
                <w:iCs w:val="0"/>
                <w:snapToGrid w:val="0"/>
                <w:color w:val="000000"/>
                <w:kern w:val="0"/>
                <w:sz w:val="24"/>
                <w:szCs w:val="22"/>
                <w:u w:val="none"/>
                <w:lang w:val="en-US" w:eastAsia="zh-CN" w:bidi="ar"/>
              </w:rPr>
              <w:t>SN：7616910、7242479</w:t>
            </w:r>
          </w:p>
        </w:tc>
      </w:tr>
      <w:tr w14:paraId="62E2E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2191" w:type="dxa"/>
            <w:tcBorders>
              <w:top w:val="nil"/>
              <w:left w:val="nil"/>
              <w:bottom w:val="nil"/>
              <w:right w:val="nil"/>
            </w:tcBorders>
            <w:shd w:val="clear" w:color="auto" w:fill="auto"/>
            <w:noWrap/>
            <w:vAlign w:val="top"/>
          </w:tcPr>
          <w:p w14:paraId="6FE368C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Times New Roman" w:hAnsi="Times New Roman" w:eastAsia="宋体" w:cs="宋体"/>
                <w:i w:val="0"/>
                <w:iCs w:val="0"/>
                <w:color w:val="000000"/>
                <w:sz w:val="24"/>
                <w:szCs w:val="22"/>
                <w:u w:val="none"/>
              </w:rPr>
            </w:pPr>
            <w:r>
              <w:rPr>
                <w:rFonts w:hint="eastAsia" w:ascii="Times New Roman" w:hAnsi="Times New Roman" w:eastAsia="宋体" w:cs="宋体"/>
                <w:i w:val="0"/>
                <w:iCs w:val="0"/>
                <w:snapToGrid w:val="0"/>
                <w:color w:val="000000"/>
                <w:kern w:val="0"/>
                <w:sz w:val="24"/>
                <w:szCs w:val="22"/>
                <w:u w:val="none"/>
                <w:lang w:val="en-US" w:eastAsia="zh-CN" w:bidi="ar"/>
              </w:rPr>
              <w:t>超声内镜主机：</w:t>
            </w:r>
          </w:p>
        </w:tc>
        <w:tc>
          <w:tcPr>
            <w:tcW w:w="1813" w:type="dxa"/>
            <w:tcBorders>
              <w:top w:val="nil"/>
              <w:left w:val="nil"/>
              <w:bottom w:val="nil"/>
              <w:right w:val="nil"/>
            </w:tcBorders>
            <w:shd w:val="clear" w:color="auto" w:fill="auto"/>
            <w:noWrap/>
            <w:vAlign w:val="top"/>
          </w:tcPr>
          <w:p w14:paraId="69E4125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Times New Roman" w:hAnsi="Times New Roman" w:eastAsia="宋体" w:cs="宋体"/>
                <w:i w:val="0"/>
                <w:iCs w:val="0"/>
                <w:color w:val="000000"/>
                <w:sz w:val="24"/>
                <w:szCs w:val="22"/>
                <w:u w:val="none"/>
              </w:rPr>
            </w:pPr>
            <w:r>
              <w:rPr>
                <w:rFonts w:hint="eastAsia" w:ascii="Times New Roman" w:hAnsi="Times New Roman" w:eastAsia="宋体" w:cs="宋体"/>
                <w:i w:val="0"/>
                <w:iCs w:val="0"/>
                <w:snapToGrid w:val="0"/>
                <w:color w:val="000000"/>
                <w:kern w:val="0"/>
                <w:sz w:val="24"/>
                <w:szCs w:val="22"/>
                <w:u w:val="none"/>
                <w:lang w:val="en-US" w:eastAsia="zh-CN" w:bidi="ar"/>
              </w:rPr>
              <w:t>EU-ME2</w:t>
            </w:r>
          </w:p>
        </w:tc>
        <w:tc>
          <w:tcPr>
            <w:tcW w:w="4096" w:type="dxa"/>
            <w:tcBorders>
              <w:top w:val="nil"/>
              <w:left w:val="nil"/>
              <w:bottom w:val="nil"/>
              <w:right w:val="nil"/>
            </w:tcBorders>
            <w:shd w:val="clear" w:color="auto" w:fill="auto"/>
            <w:noWrap/>
            <w:vAlign w:val="center"/>
          </w:tcPr>
          <w:p w14:paraId="5FA2468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both"/>
              <w:textAlignment w:val="center"/>
              <w:rPr>
                <w:rFonts w:hint="eastAsia" w:ascii="Times New Roman" w:hAnsi="Times New Roman" w:eastAsia="宋体" w:cs="宋体"/>
                <w:i w:val="0"/>
                <w:iCs w:val="0"/>
                <w:color w:val="000000"/>
                <w:sz w:val="24"/>
                <w:szCs w:val="22"/>
                <w:u w:val="none"/>
              </w:rPr>
            </w:pPr>
            <w:r>
              <w:rPr>
                <w:rFonts w:hint="eastAsia" w:ascii="Times New Roman" w:hAnsi="Times New Roman" w:eastAsia="宋体" w:cs="宋体"/>
                <w:i w:val="0"/>
                <w:iCs w:val="0"/>
                <w:snapToGrid w:val="0"/>
                <w:color w:val="000000"/>
                <w:kern w:val="0"/>
                <w:sz w:val="24"/>
                <w:szCs w:val="22"/>
                <w:u w:val="none"/>
                <w:lang w:val="en-US" w:eastAsia="zh-CN" w:bidi="ar"/>
              </w:rPr>
              <w:t>SN：7015991</w:t>
            </w:r>
          </w:p>
        </w:tc>
      </w:tr>
    </w:tbl>
    <w:p w14:paraId="497D25B5">
      <w:pPr>
        <w:pStyle w:val="3"/>
        <w:spacing w:before="1" w:line="219" w:lineRule="auto"/>
        <w:ind w:left="509"/>
        <w:outlineLvl w:val="2"/>
      </w:pPr>
      <w:r>
        <w:rPr>
          <w:b/>
          <w:bCs/>
          <w:spacing w:val="-6"/>
        </w:rPr>
        <w:t>2）项目概况</w:t>
      </w:r>
    </w:p>
    <w:p w14:paraId="5D68A9B3">
      <w:pPr>
        <w:pStyle w:val="3"/>
        <w:spacing w:before="180" w:line="218" w:lineRule="auto"/>
        <w:ind w:left="531"/>
      </w:pPr>
      <w:r>
        <w:rPr>
          <w:spacing w:val="-4"/>
        </w:rPr>
        <w:t>1、项目名称：</w:t>
      </w:r>
      <w:r>
        <w:rPr>
          <w:rFonts w:hint="eastAsia"/>
          <w:lang w:val="en-US" w:eastAsia="zh-CN"/>
        </w:rPr>
        <w:t>内窥镜</w:t>
      </w:r>
      <w:r>
        <w:rPr>
          <w:spacing w:val="-4"/>
        </w:rPr>
        <w:t>维保服务。</w:t>
      </w:r>
    </w:p>
    <w:p w14:paraId="33308195">
      <w:pPr>
        <w:pStyle w:val="3"/>
        <w:spacing w:before="185" w:line="218" w:lineRule="auto"/>
        <w:ind w:left="516"/>
      </w:pPr>
      <w:r>
        <w:rPr>
          <w:spacing w:val="-4"/>
        </w:rPr>
        <w:t>2、设备品牌：奥林巴斯。</w:t>
      </w:r>
    </w:p>
    <w:p w14:paraId="7C74FDE6">
      <w:pPr>
        <w:pStyle w:val="3"/>
        <w:spacing w:before="182" w:line="359" w:lineRule="auto"/>
        <w:ind w:left="23" w:right="50" w:firstLine="494"/>
      </w:pPr>
      <w:r>
        <w:rPr>
          <w:spacing w:val="-1"/>
        </w:rPr>
        <w:t>3、维保类别：全保，含所有零配件、人工保、人工劳务、差旅、运输</w:t>
      </w:r>
      <w:r>
        <w:rPr>
          <w:spacing w:val="-2"/>
        </w:rPr>
        <w:t>、调试、税费等与维保保养所有相关费用，采购人不再支付任何费用。</w:t>
      </w:r>
    </w:p>
    <w:p w14:paraId="4957ED96">
      <w:pPr>
        <w:pStyle w:val="3"/>
        <w:spacing w:before="1" w:line="219" w:lineRule="auto"/>
        <w:ind w:left="512"/>
      </w:pPr>
      <w:r>
        <w:rPr>
          <w:spacing w:val="-2"/>
        </w:rPr>
        <w:t>4、维保期限：三年</w:t>
      </w:r>
    </w:p>
    <w:p w14:paraId="42A1BEFB">
      <w:pPr>
        <w:pStyle w:val="3"/>
        <w:spacing w:before="55" w:line="360" w:lineRule="auto"/>
        <w:ind w:left="25" w:right="39" w:firstLine="488"/>
      </w:pPr>
    </w:p>
    <w:p w14:paraId="05D5E251">
      <w:pPr>
        <w:pStyle w:val="3"/>
        <w:spacing w:before="79" w:line="220" w:lineRule="auto"/>
        <w:ind w:left="23"/>
        <w:jc w:val="center"/>
        <w:rPr>
          <w:b/>
          <w:bCs/>
          <w:spacing w:val="-3"/>
        </w:rPr>
      </w:pPr>
      <w:r>
        <w:rPr>
          <w:rFonts w:hint="eastAsia" w:cs="宋体"/>
          <w:b/>
          <w:bCs/>
          <w:kern w:val="0"/>
          <w:sz w:val="28"/>
          <w:szCs w:val="28"/>
          <w:lang w:val="en-US" w:eastAsia="zh-CN"/>
        </w:rPr>
        <w:t>响应偏离表</w:t>
      </w:r>
    </w:p>
    <w:tbl>
      <w:tblPr>
        <w:tblStyle w:val="4"/>
        <w:tblW w:w="9439" w:type="dxa"/>
        <w:tblInd w:w="-5" w:type="dxa"/>
        <w:tblLayout w:type="fixed"/>
        <w:tblCellMar>
          <w:top w:w="0" w:type="dxa"/>
          <w:left w:w="108" w:type="dxa"/>
          <w:bottom w:w="0" w:type="dxa"/>
          <w:right w:w="108" w:type="dxa"/>
        </w:tblCellMar>
      </w:tblPr>
      <w:tblGrid>
        <w:gridCol w:w="1554"/>
        <w:gridCol w:w="5858"/>
        <w:gridCol w:w="1042"/>
        <w:gridCol w:w="985"/>
      </w:tblGrid>
      <w:tr w14:paraId="0B691FE6">
        <w:tblPrEx>
          <w:tblCellMar>
            <w:top w:w="0" w:type="dxa"/>
            <w:left w:w="108" w:type="dxa"/>
            <w:bottom w:w="0" w:type="dxa"/>
            <w:right w:w="108" w:type="dxa"/>
          </w:tblCellMar>
        </w:tblPrEx>
        <w:trPr>
          <w:trHeight w:val="330" w:hRule="atLeast"/>
        </w:trPr>
        <w:tc>
          <w:tcPr>
            <w:tcW w:w="943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FA494">
            <w:pPr>
              <w:keepNext w:val="0"/>
              <w:keepLines w:val="0"/>
              <w:pageBreakBefore w:val="0"/>
              <w:kinsoku/>
              <w:wordWrap/>
              <w:overflowPunct/>
              <w:topLinePunct w:val="0"/>
              <w:bidi w:val="0"/>
              <w:snapToGrid/>
              <w:spacing w:line="360" w:lineRule="exact"/>
              <w:jc w:val="center"/>
              <w:rPr>
                <w:rFonts w:hint="eastAsia" w:ascii="Times New Roman" w:hAnsi="Times New Roman" w:eastAsia="仿宋" w:cs="Arial"/>
                <w:color w:val="FF0000"/>
                <w:kern w:val="2"/>
                <w:sz w:val="21"/>
                <w:szCs w:val="22"/>
                <w:lang w:val="en-US" w:eastAsia="zh-CN" w:bidi="ar-SA"/>
              </w:rPr>
            </w:pPr>
            <w:r>
              <w:rPr>
                <w:rFonts w:hint="eastAsia" w:ascii="Times New Roman" w:hAnsi="Times New Roman" w:eastAsia="仿宋" w:cs="华文仿宋"/>
                <w:sz w:val="21"/>
                <w:szCs w:val="21"/>
              </w:rPr>
              <w:t>技术要求</w:t>
            </w:r>
          </w:p>
        </w:tc>
      </w:tr>
      <w:tr w14:paraId="0153B71A">
        <w:tblPrEx>
          <w:tblCellMar>
            <w:top w:w="0" w:type="dxa"/>
            <w:left w:w="108" w:type="dxa"/>
            <w:bottom w:w="0" w:type="dxa"/>
            <w:right w:w="108" w:type="dxa"/>
          </w:tblCellMar>
        </w:tblPrEx>
        <w:trPr>
          <w:trHeight w:val="330" w:hRule="atLeast"/>
        </w:trPr>
        <w:tc>
          <w:tcPr>
            <w:tcW w:w="7412" w:type="dxa"/>
            <w:gridSpan w:val="2"/>
            <w:tcBorders>
              <w:top w:val="single" w:color="000000" w:sz="4" w:space="0"/>
              <w:left w:val="single" w:color="000000" w:sz="4" w:space="0"/>
              <w:bottom w:val="single" w:color="000000" w:sz="4" w:space="0"/>
              <w:right w:val="single" w:color="auto" w:sz="4" w:space="0"/>
            </w:tcBorders>
            <w:shd w:val="clear" w:color="auto" w:fill="auto"/>
            <w:noWrap/>
            <w:vAlign w:val="center"/>
          </w:tcPr>
          <w:p w14:paraId="694EAC97">
            <w:pPr>
              <w:keepNext w:val="0"/>
              <w:keepLines w:val="0"/>
              <w:pageBreakBefore w:val="0"/>
              <w:kinsoku/>
              <w:wordWrap/>
              <w:overflowPunct/>
              <w:topLinePunct w:val="0"/>
              <w:bidi w:val="0"/>
              <w:snapToGrid/>
              <w:spacing w:line="360" w:lineRule="exact"/>
              <w:jc w:val="center"/>
              <w:rPr>
                <w:rFonts w:hint="eastAsia" w:ascii="Times New Roman" w:hAnsi="Times New Roman" w:eastAsia="仿宋" w:cs="华文仿宋"/>
                <w:sz w:val="21"/>
                <w:szCs w:val="21"/>
              </w:rPr>
            </w:pPr>
          </w:p>
        </w:tc>
        <w:tc>
          <w:tcPr>
            <w:tcW w:w="1042" w:type="dxa"/>
            <w:tcBorders>
              <w:top w:val="single" w:color="000000" w:sz="4" w:space="0"/>
              <w:left w:val="single" w:color="auto" w:sz="4" w:space="0"/>
              <w:bottom w:val="single" w:color="000000" w:sz="4" w:space="0"/>
              <w:right w:val="single" w:color="auto" w:sz="4" w:space="0"/>
            </w:tcBorders>
            <w:shd w:val="clear" w:color="auto" w:fill="auto"/>
            <w:noWrap/>
            <w:vAlign w:val="center"/>
          </w:tcPr>
          <w:p w14:paraId="19D5F32E">
            <w:pPr>
              <w:keepNext w:val="0"/>
              <w:keepLines w:val="0"/>
              <w:pageBreakBefore w:val="0"/>
              <w:kinsoku/>
              <w:wordWrap/>
              <w:overflowPunct/>
              <w:topLinePunct w:val="0"/>
              <w:bidi w:val="0"/>
              <w:snapToGrid/>
              <w:spacing w:line="360" w:lineRule="exact"/>
              <w:jc w:val="center"/>
              <w:rPr>
                <w:rFonts w:hint="eastAsia" w:ascii="Times New Roman" w:hAnsi="Times New Roman" w:eastAsia="仿宋" w:cs="华文仿宋"/>
                <w:sz w:val="21"/>
                <w:szCs w:val="21"/>
                <w:lang w:val="en-US" w:eastAsia="zh-CN"/>
              </w:rPr>
            </w:pPr>
            <w:r>
              <w:rPr>
                <w:rFonts w:hint="eastAsia" w:ascii="Times New Roman" w:hAnsi="Times New Roman" w:eastAsia="仿宋" w:cs="华文仿宋"/>
                <w:sz w:val="21"/>
                <w:szCs w:val="21"/>
                <w:lang w:val="en-US" w:eastAsia="zh-CN"/>
              </w:rPr>
              <w:t>响应</w:t>
            </w:r>
          </w:p>
        </w:tc>
        <w:tc>
          <w:tcPr>
            <w:tcW w:w="985"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5B3E868B">
            <w:pPr>
              <w:keepNext w:val="0"/>
              <w:keepLines w:val="0"/>
              <w:pageBreakBefore w:val="0"/>
              <w:kinsoku/>
              <w:wordWrap/>
              <w:overflowPunct/>
              <w:topLinePunct w:val="0"/>
              <w:bidi w:val="0"/>
              <w:snapToGrid/>
              <w:spacing w:line="360" w:lineRule="exact"/>
              <w:jc w:val="center"/>
              <w:rPr>
                <w:rFonts w:hint="eastAsia" w:ascii="Times New Roman" w:hAnsi="Times New Roman" w:eastAsia="仿宋" w:cs="华文仿宋"/>
                <w:sz w:val="21"/>
                <w:szCs w:val="21"/>
                <w:lang w:val="en-US" w:eastAsia="zh-CN"/>
              </w:rPr>
            </w:pPr>
            <w:r>
              <w:rPr>
                <w:rFonts w:hint="eastAsia" w:ascii="Times New Roman" w:hAnsi="Times New Roman" w:eastAsia="仿宋" w:cs="华文仿宋"/>
                <w:sz w:val="21"/>
                <w:szCs w:val="21"/>
                <w:lang w:val="en-US" w:eastAsia="zh-CN"/>
              </w:rPr>
              <w:t>偏离</w:t>
            </w:r>
          </w:p>
        </w:tc>
      </w:tr>
      <w:tr w14:paraId="6FC835C5">
        <w:tblPrEx>
          <w:tblCellMar>
            <w:top w:w="0" w:type="dxa"/>
            <w:left w:w="108" w:type="dxa"/>
            <w:bottom w:w="0" w:type="dxa"/>
            <w:right w:w="108" w:type="dxa"/>
          </w:tblCellMar>
        </w:tblPrEx>
        <w:trPr>
          <w:trHeight w:val="330" w:hRule="atLeast"/>
        </w:trPr>
        <w:tc>
          <w:tcPr>
            <w:tcW w:w="15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5097C">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仿宋" w:cs="宋体"/>
                <w:b w:val="0"/>
                <w:bCs w:val="0"/>
                <w:color w:val="auto"/>
                <w:kern w:val="0"/>
                <w:sz w:val="21"/>
                <w:szCs w:val="24"/>
                <w:lang w:val="en-US" w:eastAsia="zh-CN" w:bidi="ar-SA"/>
              </w:rPr>
            </w:pPr>
            <w:r>
              <w:rPr>
                <w:rFonts w:hint="eastAsia" w:ascii="Times New Roman" w:hAnsi="Times New Roman" w:eastAsia="仿宋" w:cs="宋体"/>
                <w:b w:val="0"/>
                <w:bCs w:val="0"/>
                <w:color w:val="auto"/>
                <w:kern w:val="0"/>
                <w:sz w:val="21"/>
                <w:szCs w:val="24"/>
                <w:lang w:val="en-US" w:eastAsia="zh-CN" w:bidi="ar-SA"/>
              </w:rPr>
              <w:t>1</w:t>
            </w:r>
          </w:p>
        </w:tc>
        <w:tc>
          <w:tcPr>
            <w:tcW w:w="5858"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63536644">
            <w:pPr>
              <w:keepNext w:val="0"/>
              <w:keepLines w:val="0"/>
              <w:pageBreakBefore w:val="0"/>
              <w:kinsoku/>
              <w:wordWrap/>
              <w:overflowPunct/>
              <w:topLinePunct w:val="0"/>
              <w:bidi w:val="0"/>
              <w:snapToGrid/>
              <w:spacing w:line="360" w:lineRule="exact"/>
              <w:jc w:val="left"/>
              <w:rPr>
                <w:rFonts w:hint="eastAsia" w:ascii="Times New Roman" w:hAnsi="Times New Roman" w:eastAsia="仿宋" w:cs="华文仿宋"/>
                <w:b w:val="0"/>
                <w:bCs w:val="0"/>
                <w:sz w:val="21"/>
                <w:szCs w:val="21"/>
              </w:rPr>
            </w:pPr>
            <w:r>
              <w:rPr>
                <w:rFonts w:hint="eastAsia" w:ascii="Times New Roman" w:hAnsi="Times New Roman" w:eastAsia="仿宋" w:cs="华文仿宋"/>
                <w:b w:val="0"/>
                <w:bCs w:val="0"/>
                <w:color w:val="000000"/>
                <w:sz w:val="21"/>
                <w:szCs w:val="21"/>
              </w:rPr>
              <w:t>服务内容和标准</w:t>
            </w:r>
          </w:p>
        </w:tc>
        <w:tc>
          <w:tcPr>
            <w:tcW w:w="1042" w:type="dxa"/>
            <w:tcBorders>
              <w:top w:val="single" w:color="000000" w:sz="4" w:space="0"/>
              <w:left w:val="single" w:color="auto" w:sz="4" w:space="0"/>
              <w:bottom w:val="single" w:color="000000" w:sz="4" w:space="0"/>
              <w:right w:val="single" w:color="auto" w:sz="4" w:space="0"/>
            </w:tcBorders>
            <w:shd w:val="clear" w:color="auto" w:fill="auto"/>
            <w:vAlign w:val="top"/>
          </w:tcPr>
          <w:p w14:paraId="733C5A8C">
            <w:pPr>
              <w:keepNext w:val="0"/>
              <w:keepLines w:val="0"/>
              <w:pageBreakBefore w:val="0"/>
              <w:kinsoku/>
              <w:wordWrap/>
              <w:overflowPunct/>
              <w:topLinePunct w:val="0"/>
              <w:bidi w:val="0"/>
              <w:snapToGrid/>
              <w:spacing w:line="360" w:lineRule="exact"/>
              <w:rPr>
                <w:rFonts w:hint="eastAsia" w:ascii="Times New Roman" w:hAnsi="Times New Roman" w:eastAsia="仿宋" w:cs="Arial"/>
                <w:color w:val="FF0000"/>
                <w:kern w:val="2"/>
                <w:sz w:val="21"/>
                <w:szCs w:val="22"/>
                <w:lang w:val="en-US" w:eastAsia="zh-CN" w:bidi="ar-SA"/>
              </w:rPr>
            </w:pPr>
          </w:p>
        </w:tc>
        <w:tc>
          <w:tcPr>
            <w:tcW w:w="985" w:type="dxa"/>
            <w:tcBorders>
              <w:top w:val="single" w:color="000000" w:sz="4" w:space="0"/>
              <w:left w:val="single" w:color="auto" w:sz="4" w:space="0"/>
              <w:bottom w:val="single" w:color="000000" w:sz="4" w:space="0"/>
              <w:right w:val="single" w:color="000000" w:sz="4" w:space="0"/>
            </w:tcBorders>
            <w:shd w:val="clear" w:color="auto" w:fill="auto"/>
            <w:vAlign w:val="top"/>
          </w:tcPr>
          <w:p w14:paraId="422CE138">
            <w:pPr>
              <w:keepNext w:val="0"/>
              <w:keepLines w:val="0"/>
              <w:pageBreakBefore w:val="0"/>
              <w:kinsoku/>
              <w:wordWrap/>
              <w:overflowPunct/>
              <w:topLinePunct w:val="0"/>
              <w:bidi w:val="0"/>
              <w:snapToGrid/>
              <w:spacing w:line="360" w:lineRule="exact"/>
              <w:rPr>
                <w:rFonts w:hint="eastAsia" w:ascii="Times New Roman" w:hAnsi="Times New Roman" w:eastAsia="仿宋" w:cs="Arial"/>
                <w:color w:val="FF0000"/>
                <w:kern w:val="2"/>
                <w:sz w:val="21"/>
                <w:szCs w:val="22"/>
                <w:lang w:val="en-US" w:eastAsia="zh-CN" w:bidi="ar-SA"/>
              </w:rPr>
            </w:pPr>
          </w:p>
        </w:tc>
      </w:tr>
      <w:tr w14:paraId="135890CA">
        <w:tblPrEx>
          <w:tblCellMar>
            <w:top w:w="0" w:type="dxa"/>
            <w:left w:w="108" w:type="dxa"/>
            <w:bottom w:w="0" w:type="dxa"/>
            <w:right w:w="108" w:type="dxa"/>
          </w:tblCellMar>
        </w:tblPrEx>
        <w:trPr>
          <w:trHeight w:val="330" w:hRule="atLeast"/>
        </w:trPr>
        <w:tc>
          <w:tcPr>
            <w:tcW w:w="15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1637F">
            <w:pPr>
              <w:keepNext w:val="0"/>
              <w:keepLines w:val="0"/>
              <w:pageBreakBefore w:val="0"/>
              <w:kinsoku/>
              <w:wordWrap/>
              <w:overflowPunct/>
              <w:topLinePunct w:val="0"/>
              <w:autoSpaceDE/>
              <w:autoSpaceDN/>
              <w:bidi w:val="0"/>
              <w:adjustRightInd/>
              <w:snapToGrid/>
              <w:spacing w:line="360" w:lineRule="exact"/>
              <w:jc w:val="center"/>
              <w:rPr>
                <w:rFonts w:hint="default" w:ascii="Times New Roman" w:hAnsi="Times New Roman" w:eastAsia="仿宋" w:cs="宋体"/>
                <w:color w:val="auto"/>
                <w:kern w:val="0"/>
                <w:sz w:val="21"/>
                <w:szCs w:val="24"/>
                <w:lang w:val="en-US" w:eastAsia="zh-CN" w:bidi="ar-SA"/>
              </w:rPr>
            </w:pPr>
            <w:r>
              <w:rPr>
                <w:rFonts w:hint="eastAsia" w:ascii="Times New Roman" w:hAnsi="Times New Roman" w:eastAsia="仿宋" w:cs="宋体"/>
                <w:color w:val="auto"/>
                <w:kern w:val="0"/>
                <w:sz w:val="21"/>
                <w:szCs w:val="24"/>
                <w:lang w:val="en-US" w:eastAsia="zh-CN" w:bidi="ar-SA"/>
              </w:rPr>
              <w:t>1.1</w:t>
            </w:r>
          </w:p>
        </w:tc>
        <w:tc>
          <w:tcPr>
            <w:tcW w:w="5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EFF49">
            <w:pPr>
              <w:keepNext w:val="0"/>
              <w:keepLines w:val="0"/>
              <w:pageBreakBefore w:val="0"/>
              <w:kinsoku/>
              <w:wordWrap/>
              <w:overflowPunct/>
              <w:topLinePunct w:val="0"/>
              <w:bidi w:val="0"/>
              <w:snapToGrid/>
              <w:spacing w:line="360" w:lineRule="exact"/>
              <w:jc w:val="left"/>
              <w:rPr>
                <w:rFonts w:hint="eastAsia" w:ascii="Times New Roman" w:hAnsi="Times New Roman" w:eastAsia="仿宋" w:cs="华文仿宋"/>
                <w:b w:val="0"/>
                <w:bCs w:val="0"/>
                <w:color w:val="000000"/>
                <w:sz w:val="21"/>
                <w:szCs w:val="21"/>
                <w:lang w:val="en-US" w:eastAsia="zh-CN"/>
              </w:rPr>
            </w:pPr>
            <w:r>
              <w:rPr>
                <w:rFonts w:hint="eastAsia" w:ascii="Times New Roman" w:hAnsi="Times New Roman" w:eastAsia="仿宋" w:cs="华文仿宋"/>
                <w:b w:val="0"/>
                <w:bCs w:val="0"/>
                <w:color w:val="000000"/>
                <w:sz w:val="21"/>
                <w:szCs w:val="21"/>
              </w:rPr>
              <w:t>在保修期内，免费维修更换所有备件、所有设备的年正常开机使用率不能低于正常量的 99%。</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top"/>
          </w:tcPr>
          <w:p w14:paraId="798AD1D6">
            <w:pPr>
              <w:keepNext w:val="0"/>
              <w:keepLines w:val="0"/>
              <w:pageBreakBefore w:val="0"/>
              <w:kinsoku/>
              <w:wordWrap/>
              <w:overflowPunct/>
              <w:topLinePunct w:val="0"/>
              <w:bidi w:val="0"/>
              <w:snapToGrid/>
              <w:spacing w:line="360" w:lineRule="exact"/>
              <w:rPr>
                <w:rFonts w:hint="eastAsia" w:ascii="Times New Roman" w:hAnsi="Times New Roman" w:eastAsia="仿宋" w:cs="Arial"/>
                <w:color w:val="FF0000"/>
                <w:kern w:val="2"/>
                <w:sz w:val="21"/>
                <w:szCs w:val="22"/>
                <w:lang w:val="en-US" w:eastAsia="zh-CN" w:bidi="ar-SA"/>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top"/>
          </w:tcPr>
          <w:p w14:paraId="59AD91ED">
            <w:pPr>
              <w:keepNext w:val="0"/>
              <w:keepLines w:val="0"/>
              <w:pageBreakBefore w:val="0"/>
              <w:kinsoku/>
              <w:wordWrap/>
              <w:overflowPunct/>
              <w:topLinePunct w:val="0"/>
              <w:bidi w:val="0"/>
              <w:snapToGrid/>
              <w:spacing w:line="360" w:lineRule="exact"/>
              <w:rPr>
                <w:rFonts w:hint="eastAsia" w:ascii="Times New Roman" w:hAnsi="Times New Roman" w:eastAsia="仿宋" w:cs="Arial"/>
                <w:color w:val="FF0000"/>
                <w:kern w:val="2"/>
                <w:sz w:val="21"/>
                <w:szCs w:val="22"/>
                <w:lang w:val="en-US" w:eastAsia="zh-CN" w:bidi="ar-SA"/>
              </w:rPr>
            </w:pPr>
          </w:p>
        </w:tc>
      </w:tr>
      <w:tr w14:paraId="4D4B1B4E">
        <w:tblPrEx>
          <w:tblCellMar>
            <w:top w:w="0" w:type="dxa"/>
            <w:left w:w="108" w:type="dxa"/>
            <w:bottom w:w="0" w:type="dxa"/>
            <w:right w:w="108" w:type="dxa"/>
          </w:tblCellMar>
        </w:tblPrEx>
        <w:trPr>
          <w:trHeight w:val="330" w:hRule="atLeast"/>
        </w:trPr>
        <w:tc>
          <w:tcPr>
            <w:tcW w:w="15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A4B27">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仿宋" w:cs="宋体"/>
                <w:color w:val="auto"/>
                <w:kern w:val="0"/>
                <w:sz w:val="21"/>
                <w:szCs w:val="24"/>
                <w:lang w:val="en-US" w:eastAsia="zh-CN" w:bidi="ar-SA"/>
              </w:rPr>
            </w:pPr>
            <w:r>
              <w:rPr>
                <w:rFonts w:hint="eastAsia" w:ascii="Times New Roman" w:hAnsi="Times New Roman" w:eastAsia="仿宋" w:cs="宋体"/>
                <w:color w:val="auto"/>
                <w:kern w:val="0"/>
                <w:sz w:val="21"/>
                <w:szCs w:val="24"/>
                <w:lang w:val="en-US" w:eastAsia="zh-CN" w:bidi="ar-SA"/>
              </w:rPr>
              <w:t>1.2</w:t>
            </w:r>
          </w:p>
        </w:tc>
        <w:tc>
          <w:tcPr>
            <w:tcW w:w="5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D386F">
            <w:pPr>
              <w:keepNext w:val="0"/>
              <w:keepLines w:val="0"/>
              <w:pageBreakBefore w:val="0"/>
              <w:kinsoku/>
              <w:wordWrap/>
              <w:overflowPunct/>
              <w:topLinePunct w:val="0"/>
              <w:bidi w:val="0"/>
              <w:snapToGrid/>
              <w:spacing w:line="360" w:lineRule="exact"/>
              <w:jc w:val="left"/>
              <w:rPr>
                <w:rFonts w:hint="default" w:ascii="Times New Roman" w:hAnsi="Times New Roman" w:eastAsia="仿宋" w:cs="华文仿宋"/>
                <w:b w:val="0"/>
                <w:bCs w:val="0"/>
                <w:color w:val="000000"/>
                <w:sz w:val="21"/>
                <w:szCs w:val="21"/>
                <w:lang w:val="en-US" w:eastAsia="zh-CN"/>
              </w:rPr>
            </w:pPr>
            <w:r>
              <w:rPr>
                <w:rFonts w:hint="eastAsia" w:ascii="Times New Roman" w:hAnsi="Times New Roman" w:eastAsia="仿宋" w:cs="华文仿宋"/>
                <w:b w:val="0"/>
                <w:bCs w:val="0"/>
                <w:color w:val="000000"/>
                <w:sz w:val="21"/>
                <w:szCs w:val="21"/>
              </w:rPr>
              <w:t>每月提供 1 次</w:t>
            </w:r>
            <w:r>
              <w:rPr>
                <w:rFonts w:hint="eastAsia" w:ascii="Times New Roman" w:hAnsi="Times New Roman" w:eastAsia="仿宋" w:cs="华文仿宋"/>
                <w:b w:val="0"/>
                <w:bCs w:val="0"/>
                <w:color w:val="000000"/>
                <w:sz w:val="21"/>
                <w:szCs w:val="21"/>
                <w:lang w:val="en-US" w:eastAsia="zh-CN"/>
              </w:rPr>
              <w:t>维保</w:t>
            </w:r>
            <w:r>
              <w:rPr>
                <w:rFonts w:hint="eastAsia" w:ascii="Times New Roman" w:hAnsi="Times New Roman" w:eastAsia="仿宋" w:cs="华文仿宋"/>
                <w:b w:val="0"/>
                <w:bCs w:val="0"/>
                <w:color w:val="000000"/>
                <w:sz w:val="21"/>
                <w:szCs w:val="21"/>
              </w:rPr>
              <w:t>内镜定期保养，</w:t>
            </w:r>
            <w:r>
              <w:rPr>
                <w:rFonts w:hint="eastAsia" w:ascii="Times New Roman" w:hAnsi="Times New Roman" w:eastAsia="仿宋" w:cs="华文仿宋"/>
                <w:b w:val="0"/>
                <w:bCs w:val="0"/>
                <w:color w:val="000000"/>
                <w:sz w:val="21"/>
                <w:szCs w:val="21"/>
                <w:lang w:val="en-US" w:eastAsia="zh-CN"/>
              </w:rPr>
              <w:t>每季度</w:t>
            </w:r>
            <w:r>
              <w:rPr>
                <w:rFonts w:hint="eastAsia" w:ascii="Times New Roman" w:hAnsi="Times New Roman" w:eastAsia="仿宋" w:cs="华文仿宋"/>
                <w:b w:val="0"/>
                <w:bCs w:val="0"/>
                <w:color w:val="000000"/>
                <w:sz w:val="21"/>
                <w:szCs w:val="21"/>
              </w:rPr>
              <w:t>提供定期维护保养报告。</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top"/>
          </w:tcPr>
          <w:p w14:paraId="4A7181C5">
            <w:pPr>
              <w:keepNext w:val="0"/>
              <w:keepLines w:val="0"/>
              <w:pageBreakBefore w:val="0"/>
              <w:kinsoku/>
              <w:wordWrap/>
              <w:overflowPunct/>
              <w:topLinePunct w:val="0"/>
              <w:bidi w:val="0"/>
              <w:snapToGrid/>
              <w:spacing w:line="360" w:lineRule="exact"/>
              <w:rPr>
                <w:rFonts w:hint="eastAsia" w:ascii="Times New Roman" w:hAnsi="Times New Roman" w:eastAsia="仿宋" w:cs="Arial"/>
                <w:color w:val="FF0000"/>
                <w:kern w:val="2"/>
                <w:sz w:val="21"/>
                <w:szCs w:val="22"/>
                <w:lang w:val="en-US" w:eastAsia="zh-CN" w:bidi="ar-SA"/>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top"/>
          </w:tcPr>
          <w:p w14:paraId="433980C0">
            <w:pPr>
              <w:keepNext w:val="0"/>
              <w:keepLines w:val="0"/>
              <w:pageBreakBefore w:val="0"/>
              <w:kinsoku/>
              <w:wordWrap/>
              <w:overflowPunct/>
              <w:topLinePunct w:val="0"/>
              <w:bidi w:val="0"/>
              <w:snapToGrid/>
              <w:spacing w:line="360" w:lineRule="exact"/>
              <w:rPr>
                <w:rFonts w:hint="eastAsia" w:ascii="Times New Roman" w:hAnsi="Times New Roman" w:eastAsia="仿宋" w:cs="Arial"/>
                <w:color w:val="FF0000"/>
                <w:kern w:val="2"/>
                <w:sz w:val="21"/>
                <w:szCs w:val="22"/>
                <w:lang w:val="en-US" w:eastAsia="zh-CN" w:bidi="ar-SA"/>
              </w:rPr>
            </w:pPr>
          </w:p>
        </w:tc>
      </w:tr>
      <w:tr w14:paraId="51F55DF4">
        <w:tblPrEx>
          <w:tblCellMar>
            <w:top w:w="0" w:type="dxa"/>
            <w:left w:w="108" w:type="dxa"/>
            <w:bottom w:w="0" w:type="dxa"/>
            <w:right w:w="108" w:type="dxa"/>
          </w:tblCellMar>
        </w:tblPrEx>
        <w:trPr>
          <w:trHeight w:val="330" w:hRule="atLeast"/>
        </w:trPr>
        <w:tc>
          <w:tcPr>
            <w:tcW w:w="15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E0E8D">
            <w:pPr>
              <w:keepNext w:val="0"/>
              <w:keepLines w:val="0"/>
              <w:pageBreakBefore w:val="0"/>
              <w:kinsoku/>
              <w:wordWrap/>
              <w:overflowPunct/>
              <w:topLinePunct w:val="0"/>
              <w:autoSpaceDE/>
              <w:autoSpaceDN/>
              <w:bidi w:val="0"/>
              <w:adjustRightInd/>
              <w:snapToGrid/>
              <w:spacing w:line="360" w:lineRule="exact"/>
              <w:jc w:val="center"/>
              <w:rPr>
                <w:rFonts w:hint="default" w:ascii="Times New Roman" w:hAnsi="Times New Roman" w:eastAsia="仿宋" w:cs="宋体"/>
                <w:color w:val="auto"/>
                <w:kern w:val="0"/>
                <w:sz w:val="21"/>
                <w:szCs w:val="24"/>
                <w:lang w:val="en-US" w:eastAsia="zh-CN" w:bidi="ar-SA"/>
              </w:rPr>
            </w:pPr>
            <w:r>
              <w:rPr>
                <w:rFonts w:hint="eastAsia" w:ascii="Times New Roman" w:hAnsi="Times New Roman" w:eastAsia="仿宋" w:cs="宋体"/>
                <w:color w:val="auto"/>
                <w:kern w:val="0"/>
                <w:sz w:val="21"/>
                <w:szCs w:val="24"/>
                <w:lang w:val="en-US" w:eastAsia="zh-CN" w:bidi="ar-SA"/>
              </w:rPr>
              <w:t>1.3</w:t>
            </w:r>
          </w:p>
        </w:tc>
        <w:tc>
          <w:tcPr>
            <w:tcW w:w="5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389BB">
            <w:pPr>
              <w:keepNext w:val="0"/>
              <w:keepLines w:val="0"/>
              <w:pageBreakBefore w:val="0"/>
              <w:kinsoku/>
              <w:wordWrap/>
              <w:overflowPunct/>
              <w:topLinePunct w:val="0"/>
              <w:bidi w:val="0"/>
              <w:snapToGrid/>
              <w:spacing w:line="360" w:lineRule="exact"/>
              <w:jc w:val="left"/>
              <w:rPr>
                <w:rFonts w:hint="eastAsia" w:ascii="Times New Roman" w:hAnsi="Times New Roman" w:eastAsia="仿宋" w:cs="华文仿宋"/>
                <w:b w:val="0"/>
                <w:bCs w:val="0"/>
                <w:color w:val="000000"/>
                <w:sz w:val="21"/>
                <w:szCs w:val="21"/>
                <w:lang w:val="en-US" w:eastAsia="zh-CN"/>
              </w:rPr>
            </w:pPr>
            <w:r>
              <w:rPr>
                <w:rFonts w:hint="eastAsia" w:ascii="Times New Roman" w:hAnsi="Times New Roman" w:eastAsia="仿宋" w:cs="华文仿宋"/>
                <w:b w:val="0"/>
                <w:bCs w:val="0"/>
                <w:color w:val="000000"/>
                <w:sz w:val="21"/>
                <w:szCs w:val="21"/>
                <w:lang w:val="en-US" w:eastAsia="en-US"/>
              </w:rPr>
              <w:t>供应商备用镜的数量需大于等于本次维保内镜数量，提供备用镜序列号。</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top"/>
          </w:tcPr>
          <w:p w14:paraId="63241853">
            <w:pPr>
              <w:keepNext w:val="0"/>
              <w:keepLines w:val="0"/>
              <w:pageBreakBefore w:val="0"/>
              <w:kinsoku/>
              <w:wordWrap/>
              <w:overflowPunct/>
              <w:topLinePunct w:val="0"/>
              <w:bidi w:val="0"/>
              <w:snapToGrid/>
              <w:spacing w:line="360" w:lineRule="exact"/>
              <w:rPr>
                <w:rFonts w:hint="eastAsia" w:ascii="Times New Roman" w:hAnsi="Times New Roman" w:eastAsia="仿宋" w:cs="Arial"/>
                <w:color w:val="FF0000"/>
                <w:kern w:val="2"/>
                <w:sz w:val="21"/>
                <w:szCs w:val="22"/>
                <w:lang w:val="en-US" w:eastAsia="zh-CN" w:bidi="ar-SA"/>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top"/>
          </w:tcPr>
          <w:p w14:paraId="0464A408">
            <w:pPr>
              <w:keepNext w:val="0"/>
              <w:keepLines w:val="0"/>
              <w:pageBreakBefore w:val="0"/>
              <w:kinsoku/>
              <w:wordWrap/>
              <w:overflowPunct/>
              <w:topLinePunct w:val="0"/>
              <w:bidi w:val="0"/>
              <w:snapToGrid/>
              <w:spacing w:line="360" w:lineRule="exact"/>
              <w:rPr>
                <w:rFonts w:hint="eastAsia" w:ascii="Times New Roman" w:hAnsi="Times New Roman" w:eastAsia="仿宋" w:cs="Arial"/>
                <w:color w:val="FF0000"/>
                <w:kern w:val="2"/>
                <w:sz w:val="21"/>
                <w:szCs w:val="22"/>
                <w:lang w:val="en-US" w:eastAsia="zh-CN" w:bidi="ar-SA"/>
              </w:rPr>
            </w:pPr>
          </w:p>
        </w:tc>
      </w:tr>
      <w:tr w14:paraId="712DE86D">
        <w:tblPrEx>
          <w:tblCellMar>
            <w:top w:w="0" w:type="dxa"/>
            <w:left w:w="108" w:type="dxa"/>
            <w:bottom w:w="0" w:type="dxa"/>
            <w:right w:w="108" w:type="dxa"/>
          </w:tblCellMar>
        </w:tblPrEx>
        <w:trPr>
          <w:trHeight w:val="330" w:hRule="atLeast"/>
        </w:trPr>
        <w:tc>
          <w:tcPr>
            <w:tcW w:w="15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9CA4E">
            <w:pPr>
              <w:keepNext w:val="0"/>
              <w:keepLines w:val="0"/>
              <w:pageBreakBefore w:val="0"/>
              <w:kinsoku/>
              <w:wordWrap/>
              <w:overflowPunct/>
              <w:topLinePunct w:val="0"/>
              <w:autoSpaceDE/>
              <w:autoSpaceDN/>
              <w:bidi w:val="0"/>
              <w:adjustRightInd/>
              <w:snapToGrid/>
              <w:spacing w:line="360" w:lineRule="exact"/>
              <w:jc w:val="center"/>
              <w:rPr>
                <w:rFonts w:hint="default" w:ascii="Times New Roman" w:hAnsi="Times New Roman" w:eastAsia="仿宋" w:cs="宋体"/>
                <w:color w:val="auto"/>
                <w:kern w:val="0"/>
                <w:sz w:val="21"/>
                <w:szCs w:val="24"/>
                <w:lang w:val="en-US" w:eastAsia="zh-CN" w:bidi="ar-SA"/>
              </w:rPr>
            </w:pPr>
            <w:r>
              <w:rPr>
                <w:rFonts w:hint="eastAsia" w:ascii="Times New Roman" w:hAnsi="Times New Roman" w:eastAsia="仿宋" w:cs="宋体"/>
                <w:color w:val="auto"/>
                <w:kern w:val="0"/>
                <w:sz w:val="21"/>
                <w:szCs w:val="24"/>
                <w:lang w:val="en-US" w:eastAsia="zh-CN" w:bidi="ar-SA"/>
              </w:rPr>
              <w:t>1.4</w:t>
            </w:r>
          </w:p>
        </w:tc>
        <w:tc>
          <w:tcPr>
            <w:tcW w:w="5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5C0A7">
            <w:pPr>
              <w:keepNext w:val="0"/>
              <w:keepLines w:val="0"/>
              <w:pageBreakBefore w:val="0"/>
              <w:kinsoku/>
              <w:wordWrap/>
              <w:overflowPunct/>
              <w:topLinePunct w:val="0"/>
              <w:bidi w:val="0"/>
              <w:snapToGrid/>
              <w:spacing w:line="360" w:lineRule="exact"/>
              <w:jc w:val="left"/>
              <w:rPr>
                <w:rFonts w:hint="eastAsia" w:ascii="Times New Roman" w:hAnsi="Times New Roman" w:eastAsia="仿宋" w:cs="华文仿宋"/>
                <w:b w:val="0"/>
                <w:bCs w:val="0"/>
                <w:color w:val="000000"/>
                <w:sz w:val="21"/>
                <w:szCs w:val="21"/>
                <w:lang w:val="en-US" w:eastAsia="zh-CN"/>
              </w:rPr>
            </w:pPr>
            <w:r>
              <w:rPr>
                <w:rFonts w:hint="eastAsia" w:ascii="Times New Roman" w:hAnsi="Times New Roman" w:eastAsia="仿宋" w:cs="华文仿宋"/>
                <w:b w:val="0"/>
                <w:bCs w:val="0"/>
                <w:color w:val="000000"/>
                <w:sz w:val="21"/>
                <w:szCs w:val="21"/>
                <w:lang w:val="en-US" w:eastAsia="en-US"/>
              </w:rPr>
              <w:t>供应商需保证在接到故障维修通知 1 个工作日内向采购方提供备品且先提供备品后取故障镜。</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top"/>
          </w:tcPr>
          <w:p w14:paraId="3CBBF67C">
            <w:pPr>
              <w:keepNext w:val="0"/>
              <w:keepLines w:val="0"/>
              <w:pageBreakBefore w:val="0"/>
              <w:kinsoku/>
              <w:wordWrap/>
              <w:overflowPunct/>
              <w:topLinePunct w:val="0"/>
              <w:bidi w:val="0"/>
              <w:snapToGrid/>
              <w:spacing w:line="360" w:lineRule="exact"/>
              <w:rPr>
                <w:rFonts w:hint="eastAsia" w:ascii="Times New Roman" w:hAnsi="Times New Roman" w:eastAsia="仿宋" w:cs="Arial"/>
                <w:color w:val="FF0000"/>
                <w:kern w:val="2"/>
                <w:sz w:val="21"/>
                <w:szCs w:val="22"/>
                <w:lang w:val="en-US" w:eastAsia="zh-CN" w:bidi="ar-SA"/>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top"/>
          </w:tcPr>
          <w:p w14:paraId="4F70E7FD">
            <w:pPr>
              <w:keepNext w:val="0"/>
              <w:keepLines w:val="0"/>
              <w:pageBreakBefore w:val="0"/>
              <w:kinsoku/>
              <w:wordWrap/>
              <w:overflowPunct/>
              <w:topLinePunct w:val="0"/>
              <w:bidi w:val="0"/>
              <w:snapToGrid/>
              <w:spacing w:line="360" w:lineRule="exact"/>
              <w:rPr>
                <w:rFonts w:hint="eastAsia" w:ascii="Times New Roman" w:hAnsi="Times New Roman" w:eastAsia="仿宋" w:cs="Arial"/>
                <w:color w:val="FF0000"/>
                <w:kern w:val="2"/>
                <w:sz w:val="21"/>
                <w:szCs w:val="22"/>
                <w:lang w:val="en-US" w:eastAsia="zh-CN" w:bidi="ar-SA"/>
              </w:rPr>
            </w:pPr>
          </w:p>
        </w:tc>
      </w:tr>
      <w:tr w14:paraId="3CFDFF3D">
        <w:tblPrEx>
          <w:tblCellMar>
            <w:top w:w="0" w:type="dxa"/>
            <w:left w:w="108" w:type="dxa"/>
            <w:bottom w:w="0" w:type="dxa"/>
            <w:right w:w="108" w:type="dxa"/>
          </w:tblCellMar>
        </w:tblPrEx>
        <w:trPr>
          <w:trHeight w:val="330" w:hRule="atLeast"/>
        </w:trPr>
        <w:tc>
          <w:tcPr>
            <w:tcW w:w="15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ABA21">
            <w:pPr>
              <w:keepNext w:val="0"/>
              <w:keepLines w:val="0"/>
              <w:pageBreakBefore w:val="0"/>
              <w:kinsoku/>
              <w:wordWrap/>
              <w:overflowPunct/>
              <w:topLinePunct w:val="0"/>
              <w:autoSpaceDE/>
              <w:autoSpaceDN/>
              <w:bidi w:val="0"/>
              <w:adjustRightInd/>
              <w:snapToGrid/>
              <w:spacing w:line="360" w:lineRule="exact"/>
              <w:jc w:val="center"/>
              <w:rPr>
                <w:rFonts w:hint="default" w:ascii="Times New Roman" w:hAnsi="Times New Roman" w:eastAsia="仿宋" w:cs="宋体"/>
                <w:color w:val="auto"/>
                <w:kern w:val="0"/>
                <w:sz w:val="21"/>
                <w:szCs w:val="24"/>
                <w:lang w:val="en-US" w:eastAsia="zh-CN" w:bidi="ar-SA"/>
              </w:rPr>
            </w:pPr>
            <w:r>
              <w:rPr>
                <w:rFonts w:hint="eastAsia" w:ascii="Times New Roman" w:hAnsi="Times New Roman" w:eastAsia="仿宋" w:cs="宋体"/>
                <w:color w:val="auto"/>
                <w:kern w:val="0"/>
                <w:sz w:val="21"/>
                <w:szCs w:val="24"/>
                <w:lang w:val="en-US" w:eastAsia="zh-CN" w:bidi="ar-SA"/>
              </w:rPr>
              <w:t>1.5</w:t>
            </w:r>
          </w:p>
        </w:tc>
        <w:tc>
          <w:tcPr>
            <w:tcW w:w="5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F57AD">
            <w:pPr>
              <w:keepNext w:val="0"/>
              <w:keepLines w:val="0"/>
              <w:pageBreakBefore w:val="0"/>
              <w:kinsoku/>
              <w:wordWrap/>
              <w:overflowPunct/>
              <w:topLinePunct w:val="0"/>
              <w:bidi w:val="0"/>
              <w:snapToGrid/>
              <w:spacing w:line="360" w:lineRule="exact"/>
              <w:jc w:val="left"/>
              <w:rPr>
                <w:rFonts w:hint="eastAsia" w:ascii="Times New Roman" w:hAnsi="Times New Roman" w:eastAsia="仿宋" w:cs="华文仿宋"/>
                <w:b w:val="0"/>
                <w:bCs w:val="0"/>
                <w:color w:val="000000"/>
                <w:sz w:val="21"/>
                <w:szCs w:val="21"/>
                <w:lang w:val="en-US" w:eastAsia="zh-CN"/>
              </w:rPr>
            </w:pPr>
            <w:r>
              <w:rPr>
                <w:rFonts w:hint="eastAsia" w:ascii="Times New Roman" w:hAnsi="Times New Roman" w:eastAsia="仿宋" w:cs="华文仿宋"/>
                <w:b w:val="0"/>
                <w:bCs w:val="0"/>
                <w:color w:val="000000"/>
                <w:sz w:val="21"/>
                <w:szCs w:val="21"/>
              </w:rPr>
              <w:t>服务期内供应商需指派一名固定的工程师辅助采购人对医院的内镜进行维修和相关人员的清洁保养培训。若需更换工程师，须一个月前书面通知采购人，并获取采购人同意。</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top"/>
          </w:tcPr>
          <w:p w14:paraId="09E330EC">
            <w:pPr>
              <w:keepNext w:val="0"/>
              <w:keepLines w:val="0"/>
              <w:pageBreakBefore w:val="0"/>
              <w:kinsoku/>
              <w:wordWrap/>
              <w:overflowPunct/>
              <w:topLinePunct w:val="0"/>
              <w:bidi w:val="0"/>
              <w:snapToGrid/>
              <w:spacing w:line="360" w:lineRule="exact"/>
              <w:rPr>
                <w:rFonts w:hint="eastAsia" w:ascii="Times New Roman" w:hAnsi="Times New Roman" w:eastAsia="仿宋" w:cs="Arial"/>
                <w:color w:val="FF0000"/>
                <w:kern w:val="2"/>
                <w:sz w:val="21"/>
                <w:szCs w:val="22"/>
                <w:lang w:val="en-US" w:eastAsia="zh-CN" w:bidi="ar-SA"/>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top"/>
          </w:tcPr>
          <w:p w14:paraId="029A1468">
            <w:pPr>
              <w:keepNext w:val="0"/>
              <w:keepLines w:val="0"/>
              <w:pageBreakBefore w:val="0"/>
              <w:kinsoku/>
              <w:wordWrap/>
              <w:overflowPunct/>
              <w:topLinePunct w:val="0"/>
              <w:bidi w:val="0"/>
              <w:snapToGrid/>
              <w:spacing w:line="360" w:lineRule="exact"/>
              <w:rPr>
                <w:rFonts w:hint="eastAsia" w:ascii="Times New Roman" w:hAnsi="Times New Roman" w:eastAsia="仿宋" w:cs="Arial"/>
                <w:color w:val="FF0000"/>
                <w:kern w:val="2"/>
                <w:sz w:val="21"/>
                <w:szCs w:val="22"/>
                <w:lang w:val="en-US" w:eastAsia="zh-CN" w:bidi="ar-SA"/>
              </w:rPr>
            </w:pPr>
          </w:p>
        </w:tc>
      </w:tr>
      <w:tr w14:paraId="63EDF642">
        <w:tblPrEx>
          <w:tblCellMar>
            <w:top w:w="0" w:type="dxa"/>
            <w:left w:w="108" w:type="dxa"/>
            <w:bottom w:w="0" w:type="dxa"/>
            <w:right w:w="108" w:type="dxa"/>
          </w:tblCellMar>
        </w:tblPrEx>
        <w:trPr>
          <w:trHeight w:val="330" w:hRule="atLeast"/>
        </w:trPr>
        <w:tc>
          <w:tcPr>
            <w:tcW w:w="15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B9D5D">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仿宋" w:cs="宋体"/>
                <w:color w:val="auto"/>
                <w:kern w:val="0"/>
                <w:sz w:val="21"/>
                <w:szCs w:val="24"/>
                <w:lang w:val="en-US" w:eastAsia="zh-CN" w:bidi="ar-SA"/>
              </w:rPr>
            </w:pPr>
            <w:r>
              <w:rPr>
                <w:rFonts w:hint="eastAsia" w:ascii="Times New Roman" w:hAnsi="Times New Roman" w:eastAsia="仿宋" w:cs="宋体"/>
                <w:color w:val="auto"/>
                <w:kern w:val="0"/>
                <w:sz w:val="21"/>
                <w:szCs w:val="24"/>
                <w:lang w:val="en-US" w:eastAsia="zh-CN" w:bidi="ar-SA"/>
              </w:rPr>
              <w:t>1.6</w:t>
            </w:r>
          </w:p>
        </w:tc>
        <w:tc>
          <w:tcPr>
            <w:tcW w:w="5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A01ED">
            <w:pPr>
              <w:keepNext w:val="0"/>
              <w:keepLines w:val="0"/>
              <w:pageBreakBefore w:val="0"/>
              <w:kinsoku/>
              <w:wordWrap/>
              <w:overflowPunct/>
              <w:topLinePunct w:val="0"/>
              <w:bidi w:val="0"/>
              <w:snapToGrid/>
              <w:spacing w:line="360" w:lineRule="exact"/>
              <w:jc w:val="left"/>
              <w:rPr>
                <w:rFonts w:hint="eastAsia" w:ascii="Times New Roman" w:hAnsi="Times New Roman" w:eastAsia="仿宋" w:cs="华文仿宋"/>
                <w:b w:val="0"/>
                <w:bCs w:val="0"/>
                <w:color w:val="000000"/>
                <w:sz w:val="21"/>
                <w:szCs w:val="21"/>
              </w:rPr>
            </w:pPr>
            <w:r>
              <w:rPr>
                <w:rFonts w:hint="eastAsia" w:ascii="Times New Roman" w:hAnsi="Times New Roman" w:eastAsia="仿宋" w:cs="华文仿宋"/>
                <w:b w:val="0"/>
                <w:bCs w:val="0"/>
                <w:color w:val="000000"/>
                <w:sz w:val="21"/>
                <w:szCs w:val="21"/>
              </w:rPr>
              <w:t>服务期内工程师需每 3 个月一次点检和统计每次维修保养结果，以书面形式提交报告给采购人存档，在维保期结束前两周需对设备进行全面检查及评估，并提供设备维护保养、设备状态评估报告。</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top"/>
          </w:tcPr>
          <w:p w14:paraId="40DFCC8C">
            <w:pPr>
              <w:keepNext w:val="0"/>
              <w:keepLines w:val="0"/>
              <w:pageBreakBefore w:val="0"/>
              <w:kinsoku/>
              <w:wordWrap/>
              <w:overflowPunct/>
              <w:topLinePunct w:val="0"/>
              <w:bidi w:val="0"/>
              <w:snapToGrid/>
              <w:spacing w:line="360" w:lineRule="exact"/>
              <w:rPr>
                <w:rFonts w:hint="eastAsia" w:ascii="Times New Roman" w:hAnsi="Times New Roman" w:eastAsia="仿宋" w:cs="Arial"/>
                <w:color w:val="FF0000"/>
                <w:kern w:val="2"/>
                <w:sz w:val="21"/>
                <w:szCs w:val="22"/>
                <w:lang w:val="en-US" w:eastAsia="zh-CN" w:bidi="ar-SA"/>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top"/>
          </w:tcPr>
          <w:p w14:paraId="3526658D">
            <w:pPr>
              <w:keepNext w:val="0"/>
              <w:keepLines w:val="0"/>
              <w:pageBreakBefore w:val="0"/>
              <w:kinsoku/>
              <w:wordWrap/>
              <w:overflowPunct/>
              <w:topLinePunct w:val="0"/>
              <w:bidi w:val="0"/>
              <w:snapToGrid/>
              <w:spacing w:line="360" w:lineRule="exact"/>
              <w:rPr>
                <w:rFonts w:hint="eastAsia" w:ascii="Times New Roman" w:hAnsi="Times New Roman" w:eastAsia="仿宋" w:cs="Arial"/>
                <w:color w:val="FF0000"/>
                <w:kern w:val="2"/>
                <w:sz w:val="21"/>
                <w:szCs w:val="22"/>
                <w:lang w:val="en-US" w:eastAsia="zh-CN" w:bidi="ar-SA"/>
              </w:rPr>
            </w:pPr>
          </w:p>
        </w:tc>
      </w:tr>
      <w:tr w14:paraId="01FFD257">
        <w:tblPrEx>
          <w:tblCellMar>
            <w:top w:w="0" w:type="dxa"/>
            <w:left w:w="108" w:type="dxa"/>
            <w:bottom w:w="0" w:type="dxa"/>
            <w:right w:w="108" w:type="dxa"/>
          </w:tblCellMar>
        </w:tblPrEx>
        <w:trPr>
          <w:trHeight w:val="330" w:hRule="atLeast"/>
        </w:trPr>
        <w:tc>
          <w:tcPr>
            <w:tcW w:w="15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A6CAB">
            <w:pPr>
              <w:keepNext w:val="0"/>
              <w:keepLines w:val="0"/>
              <w:pageBreakBefore w:val="0"/>
              <w:kinsoku/>
              <w:wordWrap/>
              <w:overflowPunct/>
              <w:topLinePunct w:val="0"/>
              <w:autoSpaceDE/>
              <w:autoSpaceDN/>
              <w:bidi w:val="0"/>
              <w:adjustRightInd/>
              <w:snapToGrid/>
              <w:spacing w:line="360" w:lineRule="exact"/>
              <w:jc w:val="center"/>
              <w:rPr>
                <w:rFonts w:hint="default" w:ascii="Times New Roman" w:hAnsi="Times New Roman" w:eastAsia="仿宋" w:cs="宋体"/>
                <w:color w:val="auto"/>
                <w:kern w:val="0"/>
                <w:sz w:val="21"/>
                <w:szCs w:val="24"/>
                <w:lang w:val="en-US" w:eastAsia="zh-CN" w:bidi="ar-SA"/>
              </w:rPr>
            </w:pPr>
            <w:r>
              <w:rPr>
                <w:rFonts w:hint="eastAsia" w:ascii="Times New Roman" w:hAnsi="Times New Roman" w:eastAsia="仿宋" w:cs="宋体"/>
                <w:color w:val="auto"/>
                <w:kern w:val="0"/>
                <w:sz w:val="21"/>
                <w:szCs w:val="24"/>
                <w:lang w:val="en-US" w:eastAsia="zh-CN" w:bidi="ar-SA"/>
              </w:rPr>
              <w:t>1.7</w:t>
            </w:r>
          </w:p>
        </w:tc>
        <w:tc>
          <w:tcPr>
            <w:tcW w:w="5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914C5">
            <w:pPr>
              <w:keepNext w:val="0"/>
              <w:keepLines w:val="0"/>
              <w:pageBreakBefore w:val="0"/>
              <w:kinsoku/>
              <w:wordWrap/>
              <w:overflowPunct/>
              <w:topLinePunct w:val="0"/>
              <w:bidi w:val="0"/>
              <w:snapToGrid/>
              <w:spacing w:line="360" w:lineRule="exact"/>
              <w:jc w:val="left"/>
              <w:rPr>
                <w:rFonts w:hint="eastAsia" w:ascii="Times New Roman" w:hAnsi="Times New Roman" w:eastAsia="仿宋" w:cs="华文仿宋"/>
                <w:b w:val="0"/>
                <w:bCs w:val="0"/>
                <w:color w:val="000000"/>
                <w:sz w:val="21"/>
                <w:szCs w:val="21"/>
                <w:lang w:val="en-US" w:eastAsia="zh-CN"/>
              </w:rPr>
            </w:pPr>
            <w:r>
              <w:rPr>
                <w:rFonts w:hint="eastAsia" w:ascii="Times New Roman" w:hAnsi="Times New Roman" w:eastAsia="仿宋" w:cs="华文仿宋"/>
                <w:b w:val="0"/>
                <w:bCs w:val="0"/>
                <w:color w:val="000000"/>
                <w:sz w:val="21"/>
                <w:szCs w:val="21"/>
              </w:rPr>
              <w:t>供应商需每半年至少开展一次对内镜周边的仪器免费除尘清洁服务(含主机和图像处理系统)。</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top"/>
          </w:tcPr>
          <w:p w14:paraId="3AFAC7AE">
            <w:pPr>
              <w:keepNext w:val="0"/>
              <w:keepLines w:val="0"/>
              <w:pageBreakBefore w:val="0"/>
              <w:kinsoku/>
              <w:wordWrap/>
              <w:overflowPunct/>
              <w:topLinePunct w:val="0"/>
              <w:bidi w:val="0"/>
              <w:snapToGrid/>
              <w:spacing w:line="360" w:lineRule="exact"/>
              <w:rPr>
                <w:rFonts w:hint="eastAsia" w:ascii="Times New Roman" w:hAnsi="Times New Roman" w:eastAsia="仿宋" w:cs="Arial"/>
                <w:color w:val="FF0000"/>
                <w:kern w:val="2"/>
                <w:sz w:val="21"/>
                <w:szCs w:val="22"/>
                <w:lang w:val="en-US" w:eastAsia="zh-CN" w:bidi="ar-SA"/>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top"/>
          </w:tcPr>
          <w:p w14:paraId="357D3D1E">
            <w:pPr>
              <w:keepNext w:val="0"/>
              <w:keepLines w:val="0"/>
              <w:pageBreakBefore w:val="0"/>
              <w:kinsoku/>
              <w:wordWrap/>
              <w:overflowPunct/>
              <w:topLinePunct w:val="0"/>
              <w:bidi w:val="0"/>
              <w:snapToGrid/>
              <w:spacing w:line="360" w:lineRule="exact"/>
              <w:rPr>
                <w:rFonts w:hint="eastAsia" w:ascii="Times New Roman" w:hAnsi="Times New Roman" w:eastAsia="仿宋" w:cs="Arial"/>
                <w:color w:val="FF0000"/>
                <w:kern w:val="2"/>
                <w:sz w:val="21"/>
                <w:szCs w:val="22"/>
                <w:lang w:val="en-US" w:eastAsia="zh-CN" w:bidi="ar-SA"/>
              </w:rPr>
            </w:pPr>
          </w:p>
        </w:tc>
      </w:tr>
      <w:tr w14:paraId="1A3AB97B">
        <w:tblPrEx>
          <w:tblCellMar>
            <w:top w:w="0" w:type="dxa"/>
            <w:left w:w="108" w:type="dxa"/>
            <w:bottom w:w="0" w:type="dxa"/>
            <w:right w:w="108" w:type="dxa"/>
          </w:tblCellMar>
        </w:tblPrEx>
        <w:trPr>
          <w:trHeight w:val="330" w:hRule="atLeast"/>
        </w:trPr>
        <w:tc>
          <w:tcPr>
            <w:tcW w:w="15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F6F41">
            <w:pPr>
              <w:keepNext w:val="0"/>
              <w:keepLines w:val="0"/>
              <w:pageBreakBefore w:val="0"/>
              <w:kinsoku/>
              <w:wordWrap/>
              <w:overflowPunct/>
              <w:topLinePunct w:val="0"/>
              <w:autoSpaceDE/>
              <w:autoSpaceDN/>
              <w:bidi w:val="0"/>
              <w:adjustRightInd/>
              <w:snapToGrid/>
              <w:spacing w:line="360" w:lineRule="exact"/>
              <w:jc w:val="center"/>
              <w:rPr>
                <w:rFonts w:hint="default" w:ascii="Times New Roman" w:hAnsi="Times New Roman" w:eastAsia="仿宋" w:cs="宋体"/>
                <w:color w:val="auto"/>
                <w:kern w:val="0"/>
                <w:sz w:val="21"/>
                <w:szCs w:val="24"/>
                <w:lang w:val="en-US" w:eastAsia="zh-CN" w:bidi="ar-SA"/>
              </w:rPr>
            </w:pPr>
            <w:r>
              <w:rPr>
                <w:rFonts w:hint="eastAsia" w:ascii="Times New Roman" w:hAnsi="Times New Roman" w:eastAsia="仿宋" w:cs="宋体"/>
                <w:color w:val="auto"/>
                <w:kern w:val="0"/>
                <w:sz w:val="21"/>
                <w:szCs w:val="24"/>
                <w:lang w:val="en-US" w:eastAsia="zh-CN" w:bidi="ar-SA"/>
              </w:rPr>
              <w:t>1.8</w:t>
            </w:r>
          </w:p>
        </w:tc>
        <w:tc>
          <w:tcPr>
            <w:tcW w:w="5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AEAE1">
            <w:pPr>
              <w:keepNext w:val="0"/>
              <w:keepLines w:val="0"/>
              <w:pageBreakBefore w:val="0"/>
              <w:kinsoku/>
              <w:wordWrap/>
              <w:overflowPunct/>
              <w:topLinePunct w:val="0"/>
              <w:bidi w:val="0"/>
              <w:snapToGrid/>
              <w:spacing w:line="360" w:lineRule="exact"/>
              <w:jc w:val="left"/>
              <w:rPr>
                <w:rFonts w:hint="eastAsia" w:ascii="Times New Roman" w:hAnsi="Times New Roman" w:eastAsia="仿宋" w:cs="华文仿宋"/>
                <w:b w:val="0"/>
                <w:bCs w:val="0"/>
                <w:color w:val="000000"/>
                <w:sz w:val="21"/>
                <w:szCs w:val="21"/>
                <w:lang w:val="en-US" w:eastAsia="zh-CN"/>
              </w:rPr>
            </w:pPr>
            <w:r>
              <w:rPr>
                <w:rFonts w:hint="eastAsia" w:ascii="Times New Roman" w:hAnsi="Times New Roman" w:eastAsia="仿宋" w:cs="华文仿宋"/>
                <w:b w:val="0"/>
                <w:bCs w:val="0"/>
                <w:color w:val="000000"/>
                <w:sz w:val="21"/>
                <w:szCs w:val="21"/>
                <w:highlight w:val="none"/>
              </w:rPr>
              <w:t>供应商：项目设备前期损坏的配件，由供应商在保修合同签订日起壹个月内完成更换并设备工作正常。</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top"/>
          </w:tcPr>
          <w:p w14:paraId="587815BA">
            <w:pPr>
              <w:keepNext w:val="0"/>
              <w:keepLines w:val="0"/>
              <w:pageBreakBefore w:val="0"/>
              <w:kinsoku/>
              <w:wordWrap/>
              <w:overflowPunct/>
              <w:topLinePunct w:val="0"/>
              <w:bidi w:val="0"/>
              <w:snapToGrid/>
              <w:spacing w:line="360" w:lineRule="exact"/>
              <w:rPr>
                <w:rFonts w:hint="eastAsia" w:ascii="Times New Roman" w:hAnsi="Times New Roman" w:eastAsia="仿宋" w:cs="Arial"/>
                <w:color w:val="FF0000"/>
                <w:kern w:val="2"/>
                <w:sz w:val="21"/>
                <w:szCs w:val="22"/>
                <w:lang w:val="en-US" w:eastAsia="zh-CN" w:bidi="ar-SA"/>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top"/>
          </w:tcPr>
          <w:p w14:paraId="350325D9">
            <w:pPr>
              <w:keepNext w:val="0"/>
              <w:keepLines w:val="0"/>
              <w:pageBreakBefore w:val="0"/>
              <w:kinsoku/>
              <w:wordWrap/>
              <w:overflowPunct/>
              <w:topLinePunct w:val="0"/>
              <w:bidi w:val="0"/>
              <w:snapToGrid/>
              <w:spacing w:line="360" w:lineRule="exact"/>
              <w:rPr>
                <w:rFonts w:hint="eastAsia" w:ascii="Times New Roman" w:hAnsi="Times New Roman" w:eastAsia="仿宋" w:cs="Arial"/>
                <w:color w:val="FF0000"/>
                <w:kern w:val="2"/>
                <w:sz w:val="21"/>
                <w:szCs w:val="22"/>
                <w:lang w:val="en-US" w:eastAsia="zh-CN" w:bidi="ar-SA"/>
              </w:rPr>
            </w:pPr>
          </w:p>
        </w:tc>
      </w:tr>
      <w:tr w14:paraId="07039FF4">
        <w:tblPrEx>
          <w:tblCellMar>
            <w:top w:w="0" w:type="dxa"/>
            <w:left w:w="108" w:type="dxa"/>
            <w:bottom w:w="0" w:type="dxa"/>
            <w:right w:w="108" w:type="dxa"/>
          </w:tblCellMar>
        </w:tblPrEx>
        <w:trPr>
          <w:trHeight w:val="330" w:hRule="atLeast"/>
        </w:trPr>
        <w:tc>
          <w:tcPr>
            <w:tcW w:w="15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2531A">
            <w:pPr>
              <w:keepNext w:val="0"/>
              <w:keepLines w:val="0"/>
              <w:pageBreakBefore w:val="0"/>
              <w:kinsoku/>
              <w:wordWrap/>
              <w:overflowPunct/>
              <w:topLinePunct w:val="0"/>
              <w:autoSpaceDE/>
              <w:autoSpaceDN/>
              <w:bidi w:val="0"/>
              <w:adjustRightInd/>
              <w:snapToGrid/>
              <w:spacing w:line="360" w:lineRule="exact"/>
              <w:jc w:val="center"/>
              <w:rPr>
                <w:rFonts w:hint="default" w:ascii="Times New Roman" w:hAnsi="Times New Roman" w:eastAsia="仿宋" w:cs="宋体"/>
                <w:color w:val="auto"/>
                <w:kern w:val="0"/>
                <w:sz w:val="21"/>
                <w:szCs w:val="24"/>
                <w:lang w:val="en-US" w:eastAsia="zh-CN" w:bidi="ar-SA"/>
              </w:rPr>
            </w:pPr>
            <w:r>
              <w:rPr>
                <w:rFonts w:hint="eastAsia" w:ascii="Times New Roman" w:hAnsi="Times New Roman" w:eastAsia="仿宋" w:cs="宋体"/>
                <w:color w:val="auto"/>
                <w:kern w:val="0"/>
                <w:sz w:val="21"/>
                <w:szCs w:val="24"/>
                <w:lang w:val="en-US" w:eastAsia="zh-CN" w:bidi="ar-SA"/>
              </w:rPr>
              <w:t>1.9</w:t>
            </w:r>
          </w:p>
        </w:tc>
        <w:tc>
          <w:tcPr>
            <w:tcW w:w="5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CA4B4">
            <w:pPr>
              <w:keepNext w:val="0"/>
              <w:keepLines w:val="0"/>
              <w:pageBreakBefore w:val="0"/>
              <w:kinsoku/>
              <w:wordWrap/>
              <w:overflowPunct/>
              <w:topLinePunct w:val="0"/>
              <w:bidi w:val="0"/>
              <w:snapToGrid/>
              <w:spacing w:line="360" w:lineRule="exact"/>
              <w:jc w:val="left"/>
              <w:rPr>
                <w:rFonts w:hint="eastAsia" w:ascii="Times New Roman" w:hAnsi="Times New Roman" w:eastAsia="仿宋" w:cs="华文仿宋"/>
                <w:b w:val="0"/>
                <w:bCs w:val="0"/>
                <w:color w:val="000000"/>
                <w:sz w:val="21"/>
                <w:szCs w:val="21"/>
                <w:lang w:val="en-US" w:eastAsia="zh-CN"/>
              </w:rPr>
            </w:pPr>
            <w:r>
              <w:rPr>
                <w:rFonts w:hint="eastAsia" w:ascii="Times New Roman" w:hAnsi="Times New Roman" w:eastAsia="仿宋" w:cs="华文仿宋"/>
                <w:b w:val="0"/>
                <w:bCs w:val="0"/>
                <w:color w:val="000000"/>
                <w:sz w:val="21"/>
                <w:szCs w:val="21"/>
              </w:rPr>
              <w:t>供应商不得以任何非不可抗力的理由拖延维修响应时间，供应商全年周一至周日 365 日含节假日正常提供维修服务以保证设备的正常使用。一般性故障维修须在 2 小时内完成，重大故障维修须在 3 个工作日内完成，完成后提供设备检查和维修报告</w:t>
            </w:r>
            <w:r>
              <w:rPr>
                <w:rFonts w:hint="eastAsia" w:ascii="Times New Roman" w:hAnsi="Times New Roman" w:eastAsia="仿宋" w:cs="华文仿宋"/>
                <w:b w:val="0"/>
                <w:bCs w:val="0"/>
                <w:color w:val="000000"/>
                <w:sz w:val="21"/>
                <w:szCs w:val="21"/>
                <w:lang w:eastAsia="zh-CN"/>
              </w:rPr>
              <w:t>，</w:t>
            </w:r>
            <w:r>
              <w:rPr>
                <w:rFonts w:hint="eastAsia" w:ascii="Times New Roman" w:hAnsi="Times New Roman" w:eastAsia="仿宋" w:cs="华文仿宋"/>
                <w:b w:val="0"/>
                <w:bCs w:val="0"/>
                <w:color w:val="000000"/>
                <w:sz w:val="21"/>
                <w:szCs w:val="21"/>
              </w:rPr>
              <w:t>如果故障 3 天没有修复，医院可以和第三方联系或请厂商直接维修，费用由中标供应商全部承担</w:t>
            </w:r>
            <w:r>
              <w:rPr>
                <w:rFonts w:hint="eastAsia" w:ascii="Times New Roman" w:hAnsi="Times New Roman" w:eastAsia="仿宋" w:cs="华文仿宋"/>
                <w:b w:val="0"/>
                <w:bCs w:val="0"/>
                <w:color w:val="000000"/>
                <w:sz w:val="21"/>
                <w:szCs w:val="21"/>
                <w:lang w:eastAsia="zh-CN"/>
              </w:rPr>
              <w:t>。</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top"/>
          </w:tcPr>
          <w:p w14:paraId="559EE83D">
            <w:pPr>
              <w:keepNext w:val="0"/>
              <w:keepLines w:val="0"/>
              <w:pageBreakBefore w:val="0"/>
              <w:kinsoku/>
              <w:wordWrap/>
              <w:overflowPunct/>
              <w:topLinePunct w:val="0"/>
              <w:bidi w:val="0"/>
              <w:snapToGrid/>
              <w:spacing w:line="360" w:lineRule="exact"/>
              <w:rPr>
                <w:rFonts w:hint="eastAsia" w:ascii="Times New Roman" w:hAnsi="Times New Roman" w:eastAsia="仿宋" w:cs="Arial"/>
                <w:color w:val="FF0000"/>
                <w:kern w:val="2"/>
                <w:sz w:val="21"/>
                <w:szCs w:val="22"/>
                <w:lang w:val="en-US" w:eastAsia="zh-CN" w:bidi="ar-SA"/>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top"/>
          </w:tcPr>
          <w:p w14:paraId="3C47BAD0">
            <w:pPr>
              <w:keepNext w:val="0"/>
              <w:keepLines w:val="0"/>
              <w:pageBreakBefore w:val="0"/>
              <w:kinsoku/>
              <w:wordWrap/>
              <w:overflowPunct/>
              <w:topLinePunct w:val="0"/>
              <w:bidi w:val="0"/>
              <w:snapToGrid/>
              <w:spacing w:line="360" w:lineRule="exact"/>
              <w:rPr>
                <w:rFonts w:hint="eastAsia" w:ascii="Times New Roman" w:hAnsi="Times New Roman" w:eastAsia="仿宋" w:cs="Arial"/>
                <w:color w:val="FF0000"/>
                <w:kern w:val="2"/>
                <w:sz w:val="21"/>
                <w:szCs w:val="22"/>
                <w:lang w:val="en-US" w:eastAsia="zh-CN" w:bidi="ar-SA"/>
              </w:rPr>
            </w:pPr>
          </w:p>
        </w:tc>
      </w:tr>
      <w:tr w14:paraId="6F03C2F1">
        <w:tblPrEx>
          <w:tblCellMar>
            <w:top w:w="0" w:type="dxa"/>
            <w:left w:w="108" w:type="dxa"/>
            <w:bottom w:w="0" w:type="dxa"/>
            <w:right w:w="108" w:type="dxa"/>
          </w:tblCellMar>
        </w:tblPrEx>
        <w:trPr>
          <w:trHeight w:val="330" w:hRule="atLeast"/>
        </w:trPr>
        <w:tc>
          <w:tcPr>
            <w:tcW w:w="15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728AB">
            <w:pPr>
              <w:keepNext w:val="0"/>
              <w:keepLines w:val="0"/>
              <w:pageBreakBefore w:val="0"/>
              <w:kinsoku/>
              <w:wordWrap/>
              <w:overflowPunct/>
              <w:topLinePunct w:val="0"/>
              <w:autoSpaceDE/>
              <w:autoSpaceDN/>
              <w:bidi w:val="0"/>
              <w:adjustRightInd/>
              <w:snapToGrid/>
              <w:spacing w:line="360" w:lineRule="exact"/>
              <w:jc w:val="center"/>
              <w:rPr>
                <w:rFonts w:hint="default" w:ascii="Times New Roman" w:hAnsi="Times New Roman" w:eastAsia="仿宋" w:cs="宋体"/>
                <w:color w:val="auto"/>
                <w:kern w:val="0"/>
                <w:sz w:val="21"/>
                <w:szCs w:val="24"/>
                <w:lang w:val="en-US" w:eastAsia="zh-CN" w:bidi="ar-SA"/>
              </w:rPr>
            </w:pPr>
            <w:r>
              <w:rPr>
                <w:rFonts w:hint="eastAsia" w:ascii="Times New Roman" w:hAnsi="Times New Roman" w:eastAsia="仿宋" w:cs="宋体"/>
                <w:color w:val="auto"/>
                <w:kern w:val="0"/>
                <w:sz w:val="21"/>
                <w:szCs w:val="24"/>
                <w:lang w:val="en-US" w:eastAsia="zh-CN" w:bidi="ar-SA"/>
              </w:rPr>
              <w:t>1.10</w:t>
            </w:r>
          </w:p>
        </w:tc>
        <w:tc>
          <w:tcPr>
            <w:tcW w:w="5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16D43">
            <w:pPr>
              <w:keepNext w:val="0"/>
              <w:keepLines w:val="0"/>
              <w:pageBreakBefore w:val="0"/>
              <w:kinsoku/>
              <w:wordWrap/>
              <w:overflowPunct/>
              <w:topLinePunct w:val="0"/>
              <w:autoSpaceDE/>
              <w:autoSpaceDN/>
              <w:bidi w:val="0"/>
              <w:adjustRightInd/>
              <w:snapToGrid/>
              <w:spacing w:line="360" w:lineRule="exact"/>
              <w:jc w:val="left"/>
              <w:rPr>
                <w:rFonts w:hint="eastAsia" w:ascii="Times New Roman" w:hAnsi="Times New Roman" w:eastAsia="仿宋" w:cs="华文仿宋"/>
                <w:snapToGrid w:val="0"/>
                <w:sz w:val="21"/>
                <w:szCs w:val="21"/>
              </w:rPr>
            </w:pPr>
            <w:r>
              <w:rPr>
                <w:rFonts w:hint="eastAsia" w:ascii="Times New Roman" w:hAnsi="Times New Roman" w:eastAsia="仿宋" w:cs="华文仿宋"/>
                <w:snapToGrid w:val="0"/>
                <w:sz w:val="21"/>
                <w:szCs w:val="21"/>
              </w:rPr>
              <w:t>维保工作人员由于维保不当等原因给医院造成经济损失的，应赔偿产生的一切损失。其人身安全由供应商负责。在工作中</w:t>
            </w:r>
            <w:r>
              <w:rPr>
                <w:rFonts w:hint="eastAsia" w:ascii="Times New Roman" w:hAnsi="Times New Roman" w:eastAsia="仿宋" w:cs="华文仿宋"/>
                <w:snapToGrid w:val="0"/>
                <w:sz w:val="21"/>
                <w:szCs w:val="21"/>
                <w:lang w:eastAsia="zh-CN"/>
              </w:rPr>
              <w:t>造成</w:t>
            </w:r>
            <w:r>
              <w:rPr>
                <w:rFonts w:hint="eastAsia" w:ascii="Times New Roman" w:hAnsi="Times New Roman" w:eastAsia="仿宋" w:cs="华文仿宋"/>
                <w:snapToGrid w:val="0"/>
                <w:sz w:val="21"/>
                <w:szCs w:val="21"/>
              </w:rPr>
              <w:t>他人或财产损害的，由供应商承担相关法律后果。</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top"/>
          </w:tcPr>
          <w:p w14:paraId="069AFE97">
            <w:pPr>
              <w:keepNext w:val="0"/>
              <w:keepLines w:val="0"/>
              <w:pageBreakBefore w:val="0"/>
              <w:kinsoku/>
              <w:wordWrap/>
              <w:overflowPunct/>
              <w:topLinePunct w:val="0"/>
              <w:bidi w:val="0"/>
              <w:snapToGrid/>
              <w:spacing w:line="360" w:lineRule="exact"/>
              <w:rPr>
                <w:rFonts w:hint="eastAsia" w:ascii="Times New Roman" w:hAnsi="Times New Roman" w:eastAsia="仿宋" w:cs="Arial"/>
                <w:color w:val="FF0000"/>
                <w:kern w:val="2"/>
                <w:sz w:val="21"/>
                <w:szCs w:val="22"/>
                <w:lang w:val="en-US" w:eastAsia="zh-CN" w:bidi="ar-SA"/>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top"/>
          </w:tcPr>
          <w:p w14:paraId="6937DC65">
            <w:pPr>
              <w:keepNext w:val="0"/>
              <w:keepLines w:val="0"/>
              <w:pageBreakBefore w:val="0"/>
              <w:kinsoku/>
              <w:wordWrap/>
              <w:overflowPunct/>
              <w:topLinePunct w:val="0"/>
              <w:bidi w:val="0"/>
              <w:snapToGrid/>
              <w:spacing w:line="360" w:lineRule="exact"/>
              <w:rPr>
                <w:rFonts w:hint="eastAsia" w:ascii="Times New Roman" w:hAnsi="Times New Roman" w:eastAsia="仿宋" w:cs="Arial"/>
                <w:color w:val="FF0000"/>
                <w:kern w:val="2"/>
                <w:sz w:val="21"/>
                <w:szCs w:val="22"/>
                <w:lang w:val="en-US" w:eastAsia="zh-CN" w:bidi="ar-SA"/>
              </w:rPr>
            </w:pPr>
          </w:p>
        </w:tc>
      </w:tr>
      <w:tr w14:paraId="7AE1682D">
        <w:tblPrEx>
          <w:tblCellMar>
            <w:top w:w="0" w:type="dxa"/>
            <w:left w:w="108" w:type="dxa"/>
            <w:bottom w:w="0" w:type="dxa"/>
            <w:right w:w="108" w:type="dxa"/>
          </w:tblCellMar>
        </w:tblPrEx>
        <w:trPr>
          <w:trHeight w:val="330" w:hRule="atLeast"/>
        </w:trPr>
        <w:tc>
          <w:tcPr>
            <w:tcW w:w="943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D0D0D">
            <w:pPr>
              <w:keepNext w:val="0"/>
              <w:keepLines w:val="0"/>
              <w:pageBreakBefore w:val="0"/>
              <w:kinsoku/>
              <w:wordWrap/>
              <w:overflowPunct/>
              <w:topLinePunct w:val="0"/>
              <w:bidi w:val="0"/>
              <w:snapToGrid/>
              <w:spacing w:line="360" w:lineRule="exact"/>
              <w:jc w:val="center"/>
              <w:rPr>
                <w:rFonts w:hint="eastAsia" w:ascii="Times New Roman" w:hAnsi="Times New Roman" w:eastAsia="仿宋" w:cs="Arial"/>
                <w:color w:val="FF0000"/>
                <w:kern w:val="2"/>
                <w:sz w:val="21"/>
                <w:szCs w:val="22"/>
                <w:lang w:val="en-US" w:eastAsia="zh-CN" w:bidi="ar-SA"/>
              </w:rPr>
            </w:pPr>
            <w:r>
              <w:rPr>
                <w:rFonts w:hint="eastAsia" w:ascii="Times New Roman" w:hAnsi="Times New Roman" w:eastAsia="仿宋" w:cs="华文仿宋"/>
                <w:sz w:val="21"/>
                <w:szCs w:val="21"/>
              </w:rPr>
              <w:t>商务要求</w:t>
            </w:r>
          </w:p>
        </w:tc>
      </w:tr>
      <w:tr w14:paraId="387A7E72">
        <w:tblPrEx>
          <w:tblCellMar>
            <w:top w:w="0" w:type="dxa"/>
            <w:left w:w="108" w:type="dxa"/>
            <w:bottom w:w="0" w:type="dxa"/>
            <w:right w:w="108" w:type="dxa"/>
          </w:tblCellMar>
        </w:tblPrEx>
        <w:trPr>
          <w:trHeight w:val="330" w:hRule="atLeast"/>
        </w:trPr>
        <w:tc>
          <w:tcPr>
            <w:tcW w:w="15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1CEF4">
            <w:pPr>
              <w:keepNext w:val="0"/>
              <w:keepLines w:val="0"/>
              <w:pageBreakBefore w:val="0"/>
              <w:kinsoku/>
              <w:wordWrap/>
              <w:overflowPunct/>
              <w:topLinePunct w:val="0"/>
              <w:autoSpaceDE/>
              <w:autoSpaceDN/>
              <w:bidi w:val="0"/>
              <w:adjustRightInd/>
              <w:snapToGrid/>
              <w:spacing w:line="360" w:lineRule="exact"/>
              <w:jc w:val="center"/>
              <w:rPr>
                <w:rFonts w:hint="default" w:ascii="Times New Roman" w:hAnsi="Times New Roman" w:eastAsia="仿宋" w:cs="宋体"/>
                <w:color w:val="auto"/>
                <w:kern w:val="0"/>
                <w:sz w:val="21"/>
                <w:szCs w:val="24"/>
                <w:lang w:val="en-US" w:eastAsia="zh-CN" w:bidi="ar-SA"/>
              </w:rPr>
            </w:pPr>
            <w:r>
              <w:rPr>
                <w:rFonts w:hint="eastAsia" w:ascii="Times New Roman" w:hAnsi="Times New Roman" w:eastAsia="仿宋" w:cs="宋体"/>
                <w:color w:val="auto"/>
                <w:kern w:val="0"/>
                <w:sz w:val="21"/>
                <w:szCs w:val="24"/>
                <w:lang w:val="en-US" w:eastAsia="zh-CN" w:bidi="ar-SA"/>
              </w:rPr>
              <w:t>1</w:t>
            </w:r>
          </w:p>
        </w:tc>
        <w:tc>
          <w:tcPr>
            <w:tcW w:w="5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9D8BC">
            <w:pPr>
              <w:keepNext w:val="0"/>
              <w:keepLines w:val="0"/>
              <w:pageBreakBefore w:val="0"/>
              <w:kinsoku/>
              <w:wordWrap/>
              <w:overflowPunct/>
              <w:topLinePunct w:val="0"/>
              <w:autoSpaceDE/>
              <w:autoSpaceDN/>
              <w:bidi w:val="0"/>
              <w:adjustRightInd/>
              <w:snapToGrid/>
              <w:spacing w:line="360" w:lineRule="exact"/>
              <w:jc w:val="left"/>
              <w:rPr>
                <w:rFonts w:hint="eastAsia" w:ascii="Times New Roman" w:hAnsi="Times New Roman" w:eastAsia="仿宋" w:cs="华文仿宋"/>
                <w:snapToGrid w:val="0"/>
                <w:sz w:val="21"/>
                <w:szCs w:val="21"/>
                <w:lang w:val="en-US" w:eastAsia="zh-CN"/>
              </w:rPr>
            </w:pPr>
            <w:r>
              <w:rPr>
                <w:rFonts w:hint="eastAsia" w:ascii="Times New Roman" w:hAnsi="Times New Roman" w:eastAsia="仿宋" w:cs="华文仿宋"/>
                <w:snapToGrid w:val="0"/>
                <w:sz w:val="21"/>
                <w:szCs w:val="21"/>
              </w:rPr>
              <w:t>付款方式：签订合同，先服务后付款，每年支付</w:t>
            </w:r>
            <w:r>
              <w:rPr>
                <w:rFonts w:hint="eastAsia" w:ascii="Times New Roman" w:hAnsi="Times New Roman" w:eastAsia="仿宋" w:cs="华文仿宋"/>
                <w:snapToGrid w:val="0"/>
                <w:sz w:val="21"/>
                <w:szCs w:val="21"/>
                <w:lang w:eastAsia="zh-CN"/>
              </w:rPr>
              <w:t>一次</w:t>
            </w:r>
            <w:r>
              <w:rPr>
                <w:rFonts w:hint="eastAsia" w:ascii="Times New Roman" w:hAnsi="Times New Roman" w:eastAsia="仿宋" w:cs="华文仿宋"/>
                <w:snapToGrid w:val="0"/>
                <w:sz w:val="21"/>
                <w:szCs w:val="21"/>
              </w:rPr>
              <w:t>。</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top"/>
          </w:tcPr>
          <w:p w14:paraId="538B1E46">
            <w:pPr>
              <w:keepNext w:val="0"/>
              <w:keepLines w:val="0"/>
              <w:pageBreakBefore w:val="0"/>
              <w:kinsoku/>
              <w:wordWrap/>
              <w:overflowPunct/>
              <w:topLinePunct w:val="0"/>
              <w:bidi w:val="0"/>
              <w:snapToGrid/>
              <w:spacing w:line="360" w:lineRule="exact"/>
              <w:rPr>
                <w:rFonts w:hint="eastAsia" w:ascii="Times New Roman" w:hAnsi="Times New Roman" w:eastAsia="仿宋" w:cs="Arial"/>
                <w:color w:val="FF0000"/>
                <w:kern w:val="2"/>
                <w:sz w:val="21"/>
                <w:szCs w:val="22"/>
                <w:lang w:val="en-US" w:eastAsia="zh-CN" w:bidi="ar-SA"/>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top"/>
          </w:tcPr>
          <w:p w14:paraId="2992453E">
            <w:pPr>
              <w:keepNext w:val="0"/>
              <w:keepLines w:val="0"/>
              <w:pageBreakBefore w:val="0"/>
              <w:kinsoku/>
              <w:wordWrap/>
              <w:overflowPunct/>
              <w:topLinePunct w:val="0"/>
              <w:bidi w:val="0"/>
              <w:snapToGrid/>
              <w:spacing w:line="360" w:lineRule="exact"/>
              <w:rPr>
                <w:rFonts w:hint="eastAsia" w:ascii="Times New Roman" w:hAnsi="Times New Roman" w:eastAsia="仿宋" w:cs="Arial"/>
                <w:color w:val="FF0000"/>
                <w:kern w:val="2"/>
                <w:sz w:val="21"/>
                <w:szCs w:val="22"/>
                <w:lang w:val="en-US" w:eastAsia="zh-CN" w:bidi="ar-SA"/>
              </w:rPr>
            </w:pPr>
          </w:p>
        </w:tc>
      </w:tr>
      <w:tr w14:paraId="5E2B2C96">
        <w:tblPrEx>
          <w:tblCellMar>
            <w:top w:w="0" w:type="dxa"/>
            <w:left w:w="108" w:type="dxa"/>
            <w:bottom w:w="0" w:type="dxa"/>
            <w:right w:w="108" w:type="dxa"/>
          </w:tblCellMar>
        </w:tblPrEx>
        <w:trPr>
          <w:trHeight w:val="330" w:hRule="atLeast"/>
        </w:trPr>
        <w:tc>
          <w:tcPr>
            <w:tcW w:w="15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B77B1">
            <w:pPr>
              <w:keepNext w:val="0"/>
              <w:keepLines w:val="0"/>
              <w:pageBreakBefore w:val="0"/>
              <w:kinsoku/>
              <w:wordWrap/>
              <w:overflowPunct/>
              <w:topLinePunct w:val="0"/>
              <w:autoSpaceDE/>
              <w:autoSpaceDN/>
              <w:bidi w:val="0"/>
              <w:adjustRightInd/>
              <w:snapToGrid/>
              <w:spacing w:line="360" w:lineRule="exact"/>
              <w:jc w:val="center"/>
              <w:rPr>
                <w:rFonts w:hint="default" w:ascii="Times New Roman" w:hAnsi="Times New Roman" w:eastAsia="仿宋" w:cs="宋体"/>
                <w:color w:val="auto"/>
                <w:kern w:val="0"/>
                <w:sz w:val="21"/>
                <w:szCs w:val="24"/>
                <w:lang w:val="en-US" w:eastAsia="zh-CN" w:bidi="ar-SA"/>
              </w:rPr>
            </w:pPr>
            <w:r>
              <w:rPr>
                <w:rFonts w:hint="eastAsia" w:ascii="Times New Roman" w:hAnsi="Times New Roman" w:eastAsia="仿宋" w:cs="宋体"/>
                <w:color w:val="auto"/>
                <w:kern w:val="0"/>
                <w:sz w:val="21"/>
                <w:szCs w:val="24"/>
                <w:lang w:val="en-US" w:eastAsia="zh-CN" w:bidi="ar-SA"/>
              </w:rPr>
              <w:t>2</w:t>
            </w:r>
          </w:p>
        </w:tc>
        <w:tc>
          <w:tcPr>
            <w:tcW w:w="5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FE21B">
            <w:pPr>
              <w:keepNext w:val="0"/>
              <w:keepLines w:val="0"/>
              <w:pageBreakBefore w:val="0"/>
              <w:kinsoku/>
              <w:wordWrap/>
              <w:overflowPunct/>
              <w:topLinePunct w:val="0"/>
              <w:autoSpaceDE/>
              <w:autoSpaceDN/>
              <w:bidi w:val="0"/>
              <w:adjustRightInd/>
              <w:snapToGrid/>
              <w:spacing w:line="360" w:lineRule="exact"/>
              <w:jc w:val="left"/>
              <w:rPr>
                <w:rFonts w:hint="eastAsia" w:ascii="Times New Roman" w:hAnsi="Times New Roman" w:eastAsia="仿宋" w:cs="华文仿宋"/>
                <w:snapToGrid w:val="0"/>
                <w:sz w:val="21"/>
                <w:szCs w:val="21"/>
                <w:lang w:val="en-US" w:eastAsia="zh-CN"/>
              </w:rPr>
            </w:pPr>
            <w:r>
              <w:rPr>
                <w:rFonts w:hint="eastAsia" w:ascii="Times New Roman" w:hAnsi="Times New Roman" w:eastAsia="仿宋" w:cs="华文仿宋"/>
                <w:snapToGrid w:val="0"/>
                <w:sz w:val="21"/>
                <w:szCs w:val="21"/>
              </w:rPr>
              <w:t>维保费报价含人工、材料等一切费用。</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top"/>
          </w:tcPr>
          <w:p w14:paraId="6503F23D">
            <w:pPr>
              <w:keepNext w:val="0"/>
              <w:keepLines w:val="0"/>
              <w:pageBreakBefore w:val="0"/>
              <w:kinsoku/>
              <w:wordWrap/>
              <w:overflowPunct/>
              <w:topLinePunct w:val="0"/>
              <w:bidi w:val="0"/>
              <w:snapToGrid/>
              <w:spacing w:line="360" w:lineRule="exact"/>
              <w:rPr>
                <w:rFonts w:hint="eastAsia" w:ascii="Times New Roman" w:hAnsi="Times New Roman" w:eastAsia="仿宋" w:cs="Arial"/>
                <w:color w:val="FF0000"/>
                <w:kern w:val="2"/>
                <w:sz w:val="21"/>
                <w:szCs w:val="22"/>
                <w:lang w:val="en-US" w:eastAsia="zh-CN" w:bidi="ar-SA"/>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top"/>
          </w:tcPr>
          <w:p w14:paraId="38EC0047">
            <w:pPr>
              <w:keepNext w:val="0"/>
              <w:keepLines w:val="0"/>
              <w:pageBreakBefore w:val="0"/>
              <w:kinsoku/>
              <w:wordWrap/>
              <w:overflowPunct/>
              <w:topLinePunct w:val="0"/>
              <w:bidi w:val="0"/>
              <w:snapToGrid/>
              <w:spacing w:line="360" w:lineRule="exact"/>
              <w:rPr>
                <w:rFonts w:hint="eastAsia" w:ascii="Times New Roman" w:hAnsi="Times New Roman" w:eastAsia="仿宋" w:cs="Arial"/>
                <w:color w:val="FF0000"/>
                <w:kern w:val="2"/>
                <w:sz w:val="21"/>
                <w:szCs w:val="22"/>
                <w:lang w:val="en-US" w:eastAsia="zh-CN" w:bidi="ar-SA"/>
              </w:rPr>
            </w:pPr>
          </w:p>
        </w:tc>
      </w:tr>
      <w:tr w14:paraId="7B81A51D">
        <w:tblPrEx>
          <w:tblCellMar>
            <w:top w:w="0" w:type="dxa"/>
            <w:left w:w="108" w:type="dxa"/>
            <w:bottom w:w="0" w:type="dxa"/>
            <w:right w:w="108" w:type="dxa"/>
          </w:tblCellMar>
        </w:tblPrEx>
        <w:trPr>
          <w:trHeight w:val="330" w:hRule="atLeast"/>
        </w:trPr>
        <w:tc>
          <w:tcPr>
            <w:tcW w:w="15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59593">
            <w:pPr>
              <w:keepNext w:val="0"/>
              <w:keepLines w:val="0"/>
              <w:pageBreakBefore w:val="0"/>
              <w:kinsoku/>
              <w:wordWrap/>
              <w:overflowPunct/>
              <w:topLinePunct w:val="0"/>
              <w:autoSpaceDE/>
              <w:autoSpaceDN/>
              <w:bidi w:val="0"/>
              <w:adjustRightInd/>
              <w:snapToGrid/>
              <w:spacing w:line="360" w:lineRule="exact"/>
              <w:jc w:val="center"/>
              <w:rPr>
                <w:rFonts w:hint="default" w:ascii="Times New Roman" w:hAnsi="Times New Roman" w:eastAsia="仿宋" w:cs="宋体"/>
                <w:color w:val="auto"/>
                <w:kern w:val="0"/>
                <w:sz w:val="21"/>
                <w:szCs w:val="24"/>
                <w:lang w:val="en-US" w:eastAsia="zh-CN" w:bidi="ar-SA"/>
              </w:rPr>
            </w:pPr>
            <w:r>
              <w:rPr>
                <w:rFonts w:hint="eastAsia" w:ascii="Times New Roman" w:hAnsi="Times New Roman" w:eastAsia="仿宋" w:cs="宋体"/>
                <w:color w:val="auto"/>
                <w:kern w:val="0"/>
                <w:sz w:val="21"/>
                <w:szCs w:val="24"/>
                <w:lang w:val="en-US" w:eastAsia="zh-CN" w:bidi="ar-SA"/>
              </w:rPr>
              <w:t>3</w:t>
            </w:r>
          </w:p>
        </w:tc>
        <w:tc>
          <w:tcPr>
            <w:tcW w:w="58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89CA1">
            <w:pPr>
              <w:keepNext w:val="0"/>
              <w:keepLines w:val="0"/>
              <w:pageBreakBefore w:val="0"/>
              <w:kinsoku/>
              <w:wordWrap/>
              <w:overflowPunct/>
              <w:topLinePunct w:val="0"/>
              <w:autoSpaceDE/>
              <w:autoSpaceDN/>
              <w:bidi w:val="0"/>
              <w:adjustRightInd/>
              <w:snapToGrid/>
              <w:spacing w:line="360" w:lineRule="exact"/>
              <w:jc w:val="left"/>
              <w:rPr>
                <w:rFonts w:hint="eastAsia" w:ascii="Times New Roman" w:hAnsi="Times New Roman" w:eastAsia="仿宋" w:cs="华文仿宋"/>
                <w:snapToGrid w:val="0"/>
                <w:sz w:val="21"/>
                <w:szCs w:val="21"/>
                <w:lang w:val="en-US" w:eastAsia="zh-CN"/>
              </w:rPr>
            </w:pPr>
            <w:r>
              <w:rPr>
                <w:rFonts w:hint="eastAsia" w:ascii="Times New Roman" w:hAnsi="Times New Roman" w:eastAsia="仿宋" w:cs="华文仿宋"/>
                <w:snapToGrid w:val="0"/>
                <w:sz w:val="21"/>
                <w:szCs w:val="21"/>
                <w:lang w:val="en-US" w:eastAsia="zh-CN"/>
              </w:rPr>
              <w:t>提供参询服务近三年国内医院合同或中标通知书≥3份。</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top"/>
          </w:tcPr>
          <w:p w14:paraId="3656169D">
            <w:pPr>
              <w:keepNext w:val="0"/>
              <w:keepLines w:val="0"/>
              <w:pageBreakBefore w:val="0"/>
              <w:kinsoku/>
              <w:wordWrap/>
              <w:overflowPunct/>
              <w:topLinePunct w:val="0"/>
              <w:bidi w:val="0"/>
              <w:snapToGrid/>
              <w:spacing w:line="360" w:lineRule="exact"/>
              <w:rPr>
                <w:rFonts w:hint="eastAsia" w:ascii="Times New Roman" w:hAnsi="Times New Roman" w:eastAsia="仿宋" w:cs="Arial"/>
                <w:color w:val="FF0000"/>
                <w:kern w:val="2"/>
                <w:sz w:val="21"/>
                <w:szCs w:val="22"/>
                <w:lang w:val="en-US" w:eastAsia="zh-CN" w:bidi="ar-SA"/>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top"/>
          </w:tcPr>
          <w:p w14:paraId="36AFF0D4">
            <w:pPr>
              <w:keepNext w:val="0"/>
              <w:keepLines w:val="0"/>
              <w:pageBreakBefore w:val="0"/>
              <w:kinsoku/>
              <w:wordWrap/>
              <w:overflowPunct/>
              <w:topLinePunct w:val="0"/>
              <w:bidi w:val="0"/>
              <w:snapToGrid/>
              <w:spacing w:line="360" w:lineRule="exact"/>
              <w:rPr>
                <w:rFonts w:hint="eastAsia" w:ascii="Times New Roman" w:hAnsi="Times New Roman" w:eastAsia="仿宋" w:cs="Arial"/>
                <w:color w:val="FF0000"/>
                <w:kern w:val="2"/>
                <w:sz w:val="21"/>
                <w:szCs w:val="22"/>
                <w:lang w:val="en-US" w:eastAsia="zh-CN" w:bidi="ar-SA"/>
              </w:rPr>
            </w:pPr>
          </w:p>
        </w:tc>
      </w:tr>
    </w:tbl>
    <w:p w14:paraId="24F45D88">
      <w:pPr>
        <w:pStyle w:val="3"/>
        <w:spacing w:before="79" w:line="220" w:lineRule="auto"/>
        <w:ind w:left="23"/>
        <w:rPr>
          <w:b/>
          <w:bCs/>
          <w:spacing w:val="-3"/>
        </w:rPr>
      </w:pPr>
    </w:p>
    <w:sectPr>
      <w:pgSz w:w="11907" w:h="16839"/>
      <w:pgMar w:top="1428" w:right="1785" w:bottom="1429" w:left="178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122422B"/>
    <w:rsid w:val="10973B61"/>
    <w:rsid w:val="2DFB4DD5"/>
    <w:rsid w:val="30BF4F8E"/>
    <w:rsid w:val="62685D90"/>
    <w:rsid w:val="713A5F3D"/>
    <w:rsid w:val="73C82CEF"/>
    <w:rsid w:val="749D7B1B"/>
    <w:rsid w:val="7E4B3450"/>
    <w:rsid w:val="7EF37D4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Indent"/>
    <w:basedOn w:val="1"/>
    <w:next w:val="1"/>
    <w:qFormat/>
    <w:uiPriority w:val="0"/>
    <w:pPr>
      <w:autoSpaceDE w:val="0"/>
      <w:autoSpaceDN w:val="0"/>
      <w:adjustRightInd w:val="0"/>
      <w:spacing w:line="360" w:lineRule="auto"/>
      <w:ind w:firstLine="480"/>
      <w:jc w:val="left"/>
    </w:pPr>
    <w:rPr>
      <w:rFonts w:ascii="宋体" w:hAnsi="宋体"/>
      <w:kern w:val="0"/>
      <w:sz w:val="24"/>
    </w:rPr>
  </w:style>
  <w:style w:type="paragraph" w:styleId="3">
    <w:name w:val="Body Text"/>
    <w:basedOn w:val="1"/>
    <w:semiHidden/>
    <w:qFormat/>
    <w:uiPriority w:val="0"/>
    <w:rPr>
      <w:rFonts w:ascii="宋体" w:hAnsi="宋体" w:eastAsia="宋体" w:cs="宋体"/>
      <w:sz w:val="24"/>
      <w:szCs w:val="24"/>
      <w:lang w:val="en-US" w:eastAsia="en-US" w:bidi="ar-SA"/>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宋体" w:hAnsi="宋体" w:eastAsia="宋体" w:cs="宋体"/>
      <w:sz w:val="24"/>
      <w:szCs w:val="24"/>
      <w:lang w:val="en-US" w:eastAsia="en-US" w:bidi="ar-SA"/>
    </w:rPr>
  </w:style>
  <w:style w:type="character" w:customStyle="1" w:styleId="8">
    <w:name w:val="NormalCharacter"/>
    <w:qFormat/>
    <w:uiPriority w:val="0"/>
    <w:rPr>
      <w:rFonts w:ascii="Calibri" w:hAnsi="Calibri" w:eastAsia="宋体"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1011</Words>
  <Characters>1277</Characters>
  <TotalTime>21</TotalTime>
  <ScaleCrop>false</ScaleCrop>
  <LinksUpToDate>false</LinksUpToDate>
  <CharactersWithSpaces>1292</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2023-05-22T13:12:00Z</dcterms:created>
  <dc:creator>guodan</dc:creator>
  <cp:lastModifiedBy>伞迦楠</cp:lastModifiedBy>
  <dcterms:modified xsi:type="dcterms:W3CDTF">2026-08-25T09:17:58Z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2026-07-03T09:19:52Z</vt:filetime>
  </property>
  <property fmtid="{D5CDD505-2E9C-101B-9397-08002B2CF9AE}" pid="4" name="KSOTemplateDocerSaveRecord">
    <vt:lpwstr>eyJoZGlkIjoiZjlmYjEyODZmMGNmMmJlOTcyNjMxNzExYzdiODA2MTciLCJ1c2VySWQiOiI5OTE3NjU2MTAifQ==</vt:lpwstr>
  </property>
  <property fmtid="{D5CDD505-2E9C-101B-9397-08002B2CF9AE}" pid="5" name="KSOProductBuildVer">
    <vt:lpwstr>2052-12.1.0.28043</vt:lpwstr>
  </property>
  <property fmtid="{D5CDD505-2E9C-101B-9397-08002B2CF9AE}" pid="6" name="ICV">
    <vt:lpwstr>36AE1367B7F2418EBD7252817DC9D852_12</vt:lpwstr>
  </property>
</Properties>
</file>