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0AC57">
      <w:pPr>
        <w:jc w:val="center"/>
        <w:rPr>
          <w:rFonts w:hint="eastAsia"/>
          <w:lang w:val="en-US" w:eastAsia="zh-CN"/>
        </w:rPr>
      </w:pPr>
      <w:r>
        <w:rPr>
          <w:rFonts w:hint="eastAsia"/>
          <w:lang w:val="en-US" w:eastAsia="zh-CN"/>
        </w:rPr>
        <w:t>江西中医药大学附属医院高新院区暖通系统维保服务项目报价表</w:t>
      </w:r>
    </w:p>
    <w:p w14:paraId="27E6F4D3">
      <w:pPr>
        <w:jc w:val="center"/>
        <w:rPr>
          <w:rFonts w:hint="eastAsia"/>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683"/>
        <w:gridCol w:w="3823"/>
        <w:gridCol w:w="2385"/>
        <w:gridCol w:w="1005"/>
      </w:tblGrid>
      <w:tr w14:paraId="1AE4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3F0BC887">
            <w:pPr>
              <w:jc w:val="center"/>
              <w:rPr>
                <w:rFonts w:hint="default"/>
                <w:sz w:val="21"/>
                <w:szCs w:val="21"/>
                <w:vertAlign w:val="baseline"/>
                <w:lang w:val="en-US" w:eastAsia="zh-CN"/>
              </w:rPr>
            </w:pPr>
            <w:r>
              <w:rPr>
                <w:rFonts w:hint="eastAsia"/>
                <w:sz w:val="21"/>
                <w:szCs w:val="21"/>
                <w:vertAlign w:val="baseline"/>
                <w:lang w:val="en-US" w:eastAsia="zh-CN"/>
              </w:rPr>
              <w:t>序号</w:t>
            </w:r>
          </w:p>
        </w:tc>
        <w:tc>
          <w:tcPr>
            <w:tcW w:w="683" w:type="dxa"/>
          </w:tcPr>
          <w:p w14:paraId="1EAA311C">
            <w:pPr>
              <w:jc w:val="center"/>
              <w:rPr>
                <w:rFonts w:hint="default"/>
                <w:sz w:val="21"/>
                <w:szCs w:val="21"/>
                <w:vertAlign w:val="baseline"/>
                <w:lang w:val="en-US" w:eastAsia="zh-CN"/>
              </w:rPr>
            </w:pPr>
            <w:r>
              <w:rPr>
                <w:rFonts w:hint="eastAsia"/>
                <w:sz w:val="21"/>
                <w:szCs w:val="21"/>
                <w:vertAlign w:val="baseline"/>
                <w:lang w:val="en-US" w:eastAsia="zh-CN"/>
              </w:rPr>
              <w:t>费用名称</w:t>
            </w:r>
          </w:p>
        </w:tc>
        <w:tc>
          <w:tcPr>
            <w:tcW w:w="3823" w:type="dxa"/>
          </w:tcPr>
          <w:p w14:paraId="68FFD03F">
            <w:pPr>
              <w:jc w:val="center"/>
              <w:rPr>
                <w:rFonts w:hint="default"/>
                <w:sz w:val="21"/>
                <w:szCs w:val="21"/>
                <w:vertAlign w:val="baseline"/>
                <w:lang w:val="en-US" w:eastAsia="zh-CN"/>
              </w:rPr>
            </w:pPr>
            <w:r>
              <w:rPr>
                <w:rFonts w:hint="eastAsia"/>
                <w:sz w:val="21"/>
                <w:szCs w:val="21"/>
                <w:vertAlign w:val="baseline"/>
                <w:lang w:val="en-US" w:eastAsia="zh-CN"/>
              </w:rPr>
              <w:t>内容</w:t>
            </w:r>
          </w:p>
        </w:tc>
        <w:tc>
          <w:tcPr>
            <w:tcW w:w="2385" w:type="dxa"/>
          </w:tcPr>
          <w:p w14:paraId="2838EA6C">
            <w:pPr>
              <w:jc w:val="center"/>
              <w:rPr>
                <w:rFonts w:hint="default"/>
                <w:sz w:val="21"/>
                <w:szCs w:val="21"/>
                <w:vertAlign w:val="baseline"/>
                <w:lang w:val="en-US" w:eastAsia="zh-CN"/>
              </w:rPr>
            </w:pPr>
            <w:r>
              <w:rPr>
                <w:rFonts w:hint="eastAsia"/>
                <w:sz w:val="21"/>
                <w:szCs w:val="21"/>
                <w:vertAlign w:val="baseline"/>
                <w:lang w:val="en-US" w:eastAsia="zh-CN"/>
              </w:rPr>
              <w:t>金额（每年）</w:t>
            </w:r>
          </w:p>
        </w:tc>
        <w:tc>
          <w:tcPr>
            <w:tcW w:w="1005" w:type="dxa"/>
          </w:tcPr>
          <w:p w14:paraId="382D7BA6">
            <w:pPr>
              <w:jc w:val="center"/>
              <w:rPr>
                <w:rFonts w:hint="default"/>
                <w:sz w:val="21"/>
                <w:szCs w:val="21"/>
                <w:vertAlign w:val="baseline"/>
                <w:lang w:val="en-US" w:eastAsia="zh-CN"/>
              </w:rPr>
            </w:pPr>
            <w:r>
              <w:rPr>
                <w:rFonts w:hint="eastAsia"/>
                <w:sz w:val="21"/>
                <w:szCs w:val="21"/>
                <w:vertAlign w:val="baseline"/>
                <w:lang w:val="en-US" w:eastAsia="zh-CN"/>
              </w:rPr>
              <w:t>备注</w:t>
            </w:r>
          </w:p>
        </w:tc>
      </w:tr>
      <w:tr w14:paraId="6514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68" w:type="dxa"/>
          </w:tcPr>
          <w:p w14:paraId="41F4AA1C">
            <w:pPr>
              <w:jc w:val="center"/>
              <w:rPr>
                <w:rFonts w:hint="default"/>
                <w:sz w:val="21"/>
                <w:szCs w:val="21"/>
                <w:vertAlign w:val="baseline"/>
                <w:lang w:val="en-US" w:eastAsia="zh-CN"/>
              </w:rPr>
            </w:pPr>
            <w:r>
              <w:rPr>
                <w:rFonts w:hint="eastAsia"/>
                <w:sz w:val="21"/>
                <w:szCs w:val="21"/>
                <w:vertAlign w:val="baseline"/>
                <w:lang w:val="en-US" w:eastAsia="zh-CN"/>
              </w:rPr>
              <w:t>1</w:t>
            </w:r>
          </w:p>
        </w:tc>
        <w:tc>
          <w:tcPr>
            <w:tcW w:w="683" w:type="dxa"/>
          </w:tcPr>
          <w:p w14:paraId="4129EA68">
            <w:pPr>
              <w:jc w:val="center"/>
              <w:rPr>
                <w:rFonts w:hint="default"/>
                <w:sz w:val="21"/>
                <w:szCs w:val="21"/>
                <w:vertAlign w:val="baseline"/>
                <w:lang w:val="en-US" w:eastAsia="zh-CN"/>
              </w:rPr>
            </w:pPr>
            <w:r>
              <w:rPr>
                <w:rFonts w:hint="eastAsia"/>
                <w:sz w:val="21"/>
                <w:szCs w:val="21"/>
                <w:vertAlign w:val="baseline"/>
                <w:lang w:val="en-US" w:eastAsia="zh-CN"/>
              </w:rPr>
              <w:t>人工费</w:t>
            </w:r>
          </w:p>
        </w:tc>
        <w:tc>
          <w:tcPr>
            <w:tcW w:w="3823" w:type="dxa"/>
          </w:tcPr>
          <w:p w14:paraId="2573375D">
            <w:pPr>
              <w:jc w:val="center"/>
              <w:rPr>
                <w:rFonts w:hint="default"/>
                <w:sz w:val="21"/>
                <w:szCs w:val="21"/>
                <w:vertAlign w:val="baseline"/>
                <w:lang w:val="en-US" w:eastAsia="zh-CN"/>
              </w:rPr>
            </w:pPr>
            <w:r>
              <w:rPr>
                <w:rFonts w:hint="eastAsia"/>
                <w:sz w:val="21"/>
                <w:szCs w:val="21"/>
                <w:vertAlign w:val="baseline"/>
                <w:lang w:val="en-US" w:eastAsia="zh-CN"/>
              </w:rPr>
              <w:t>日常维护、巡检、修理、调试、清洗等一切人工</w:t>
            </w:r>
          </w:p>
        </w:tc>
        <w:tc>
          <w:tcPr>
            <w:tcW w:w="2385" w:type="dxa"/>
          </w:tcPr>
          <w:p w14:paraId="34CA875D">
            <w:pPr>
              <w:jc w:val="center"/>
              <w:rPr>
                <w:rFonts w:hint="default"/>
                <w:sz w:val="21"/>
                <w:szCs w:val="21"/>
                <w:vertAlign w:val="baseline"/>
                <w:lang w:val="en-US" w:eastAsia="zh-CN"/>
              </w:rPr>
            </w:pPr>
          </w:p>
        </w:tc>
        <w:tc>
          <w:tcPr>
            <w:tcW w:w="1005" w:type="dxa"/>
          </w:tcPr>
          <w:p w14:paraId="69E4A6ED">
            <w:pPr>
              <w:jc w:val="center"/>
              <w:rPr>
                <w:rFonts w:hint="default"/>
                <w:sz w:val="21"/>
                <w:szCs w:val="21"/>
                <w:vertAlign w:val="baseline"/>
                <w:lang w:val="en-US" w:eastAsia="zh-CN"/>
              </w:rPr>
            </w:pPr>
          </w:p>
        </w:tc>
      </w:tr>
      <w:tr w14:paraId="4581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68" w:type="dxa"/>
          </w:tcPr>
          <w:p w14:paraId="3E9F96D6">
            <w:pPr>
              <w:jc w:val="center"/>
              <w:rPr>
                <w:rFonts w:hint="default"/>
                <w:sz w:val="21"/>
                <w:szCs w:val="21"/>
                <w:vertAlign w:val="baseline"/>
                <w:lang w:val="en-US" w:eastAsia="zh-CN"/>
              </w:rPr>
            </w:pPr>
            <w:r>
              <w:rPr>
                <w:rFonts w:hint="eastAsia"/>
                <w:sz w:val="21"/>
                <w:szCs w:val="21"/>
                <w:vertAlign w:val="baseline"/>
                <w:lang w:val="en-US" w:eastAsia="zh-CN"/>
              </w:rPr>
              <w:t>2</w:t>
            </w:r>
          </w:p>
        </w:tc>
        <w:tc>
          <w:tcPr>
            <w:tcW w:w="683" w:type="dxa"/>
          </w:tcPr>
          <w:p w14:paraId="0E8234C5">
            <w:pPr>
              <w:jc w:val="center"/>
              <w:rPr>
                <w:rFonts w:hint="default"/>
                <w:sz w:val="21"/>
                <w:szCs w:val="21"/>
                <w:vertAlign w:val="baseline"/>
                <w:lang w:val="en-US" w:eastAsia="zh-CN"/>
              </w:rPr>
            </w:pPr>
            <w:r>
              <w:rPr>
                <w:rFonts w:hint="eastAsia"/>
                <w:sz w:val="21"/>
                <w:szCs w:val="21"/>
                <w:vertAlign w:val="baseline"/>
                <w:lang w:val="en-US" w:eastAsia="zh-CN"/>
              </w:rPr>
              <w:t>清洗费</w:t>
            </w:r>
          </w:p>
        </w:tc>
        <w:tc>
          <w:tcPr>
            <w:tcW w:w="3823" w:type="dxa"/>
          </w:tcPr>
          <w:p w14:paraId="74F6B554">
            <w:pPr>
              <w:jc w:val="center"/>
              <w:rPr>
                <w:rFonts w:hint="default"/>
                <w:sz w:val="21"/>
                <w:szCs w:val="21"/>
                <w:vertAlign w:val="baseline"/>
                <w:lang w:val="en-US" w:eastAsia="zh-CN"/>
              </w:rPr>
            </w:pPr>
            <w:r>
              <w:rPr>
                <w:rFonts w:hint="eastAsia"/>
                <w:sz w:val="21"/>
                <w:szCs w:val="21"/>
                <w:vertAlign w:val="baseline"/>
                <w:lang w:val="en-US" w:eastAsia="zh-CN"/>
              </w:rPr>
              <w:t>设备清洗费（包含清洗所有一切耗材）</w:t>
            </w:r>
          </w:p>
        </w:tc>
        <w:tc>
          <w:tcPr>
            <w:tcW w:w="2385" w:type="dxa"/>
          </w:tcPr>
          <w:p w14:paraId="75F5CE33">
            <w:pPr>
              <w:jc w:val="center"/>
              <w:rPr>
                <w:rFonts w:hint="default"/>
                <w:sz w:val="21"/>
                <w:szCs w:val="21"/>
                <w:vertAlign w:val="baseline"/>
                <w:lang w:val="en-US" w:eastAsia="zh-CN"/>
              </w:rPr>
            </w:pPr>
          </w:p>
        </w:tc>
        <w:tc>
          <w:tcPr>
            <w:tcW w:w="1005" w:type="dxa"/>
          </w:tcPr>
          <w:p w14:paraId="647679C8">
            <w:pPr>
              <w:jc w:val="center"/>
              <w:rPr>
                <w:rFonts w:hint="default"/>
                <w:sz w:val="21"/>
                <w:szCs w:val="21"/>
                <w:vertAlign w:val="baseline"/>
                <w:lang w:val="en-US" w:eastAsia="zh-CN"/>
              </w:rPr>
            </w:pPr>
          </w:p>
        </w:tc>
      </w:tr>
      <w:tr w14:paraId="0550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468" w:type="dxa"/>
          </w:tcPr>
          <w:p w14:paraId="0254353F">
            <w:pPr>
              <w:jc w:val="center"/>
              <w:rPr>
                <w:rFonts w:hint="default"/>
                <w:sz w:val="21"/>
                <w:szCs w:val="21"/>
                <w:vertAlign w:val="baseline"/>
                <w:lang w:val="en-US" w:eastAsia="zh-CN"/>
              </w:rPr>
            </w:pPr>
            <w:r>
              <w:rPr>
                <w:rFonts w:hint="eastAsia"/>
                <w:sz w:val="21"/>
                <w:szCs w:val="21"/>
                <w:vertAlign w:val="baseline"/>
                <w:lang w:val="en-US" w:eastAsia="zh-CN"/>
              </w:rPr>
              <w:t>3</w:t>
            </w:r>
          </w:p>
        </w:tc>
        <w:tc>
          <w:tcPr>
            <w:tcW w:w="683" w:type="dxa"/>
          </w:tcPr>
          <w:p w14:paraId="571DA74F">
            <w:pPr>
              <w:jc w:val="center"/>
              <w:rPr>
                <w:rFonts w:hint="default"/>
                <w:sz w:val="21"/>
                <w:szCs w:val="21"/>
                <w:vertAlign w:val="baseline"/>
                <w:lang w:val="en-US" w:eastAsia="zh-CN"/>
              </w:rPr>
            </w:pPr>
            <w:r>
              <w:rPr>
                <w:rFonts w:hint="eastAsia"/>
                <w:sz w:val="21"/>
                <w:szCs w:val="21"/>
                <w:vertAlign w:val="baseline"/>
                <w:lang w:val="en-US" w:eastAsia="zh-CN"/>
              </w:rPr>
              <w:t>耗材费</w:t>
            </w:r>
          </w:p>
        </w:tc>
        <w:tc>
          <w:tcPr>
            <w:tcW w:w="3823" w:type="dxa"/>
          </w:tcPr>
          <w:p w14:paraId="3F34325C">
            <w:pPr>
              <w:jc w:val="center"/>
              <w:rPr>
                <w:rFonts w:hint="default"/>
                <w:sz w:val="21"/>
                <w:szCs w:val="21"/>
                <w:vertAlign w:val="baseline"/>
                <w:lang w:val="en-US" w:eastAsia="zh-CN"/>
              </w:rPr>
            </w:pPr>
            <w:r>
              <w:rPr>
                <w:rFonts w:hint="eastAsia"/>
                <w:sz w:val="21"/>
                <w:szCs w:val="21"/>
                <w:vertAlign w:val="baseline"/>
                <w:lang w:val="en-US" w:eastAsia="zh-CN"/>
              </w:rPr>
              <w:t>设备定期维保时所有一切耗材（冷冻油、O圈、油滤、皮带等）</w:t>
            </w:r>
          </w:p>
        </w:tc>
        <w:tc>
          <w:tcPr>
            <w:tcW w:w="2385" w:type="dxa"/>
          </w:tcPr>
          <w:p w14:paraId="4E663F4F">
            <w:pPr>
              <w:jc w:val="center"/>
              <w:rPr>
                <w:rFonts w:hint="default"/>
                <w:sz w:val="21"/>
                <w:szCs w:val="21"/>
                <w:vertAlign w:val="baseline"/>
                <w:lang w:val="en-US" w:eastAsia="zh-CN"/>
              </w:rPr>
            </w:pPr>
          </w:p>
        </w:tc>
        <w:tc>
          <w:tcPr>
            <w:tcW w:w="1005" w:type="dxa"/>
          </w:tcPr>
          <w:p w14:paraId="314BD7F1">
            <w:pPr>
              <w:jc w:val="center"/>
              <w:rPr>
                <w:rFonts w:hint="default"/>
                <w:sz w:val="21"/>
                <w:szCs w:val="21"/>
                <w:vertAlign w:val="baseline"/>
                <w:lang w:val="en-US" w:eastAsia="zh-CN"/>
              </w:rPr>
            </w:pPr>
          </w:p>
        </w:tc>
      </w:tr>
      <w:tr w14:paraId="60A5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68" w:type="dxa"/>
            <w:vAlign w:val="top"/>
          </w:tcPr>
          <w:p w14:paraId="1385D38A">
            <w:pPr>
              <w:jc w:val="center"/>
              <w:rPr>
                <w:rFonts w:hint="default"/>
                <w:sz w:val="21"/>
                <w:szCs w:val="21"/>
                <w:vertAlign w:val="baseline"/>
                <w:lang w:val="en-US" w:eastAsia="zh-CN"/>
              </w:rPr>
            </w:pPr>
            <w:r>
              <w:rPr>
                <w:rFonts w:hint="eastAsia"/>
                <w:sz w:val="21"/>
                <w:szCs w:val="21"/>
                <w:vertAlign w:val="baseline"/>
                <w:lang w:val="en-US" w:eastAsia="zh-CN"/>
              </w:rPr>
              <w:t>4</w:t>
            </w:r>
          </w:p>
        </w:tc>
        <w:tc>
          <w:tcPr>
            <w:tcW w:w="683" w:type="dxa"/>
          </w:tcPr>
          <w:p w14:paraId="16793E16">
            <w:pPr>
              <w:jc w:val="center"/>
              <w:rPr>
                <w:rFonts w:hint="eastAsia"/>
                <w:sz w:val="21"/>
                <w:szCs w:val="21"/>
                <w:vertAlign w:val="baseline"/>
                <w:lang w:val="en-US" w:eastAsia="zh-CN"/>
              </w:rPr>
            </w:pPr>
            <w:r>
              <w:rPr>
                <w:rFonts w:hint="eastAsia"/>
                <w:sz w:val="21"/>
                <w:szCs w:val="21"/>
                <w:vertAlign w:val="baseline"/>
                <w:lang w:val="en-US" w:eastAsia="zh-CN"/>
              </w:rPr>
              <w:t>检测费</w:t>
            </w:r>
          </w:p>
        </w:tc>
        <w:tc>
          <w:tcPr>
            <w:tcW w:w="3823" w:type="dxa"/>
          </w:tcPr>
          <w:p w14:paraId="6E77A6AC">
            <w:pPr>
              <w:jc w:val="center"/>
              <w:rPr>
                <w:rFonts w:hint="eastAsia"/>
                <w:sz w:val="21"/>
                <w:szCs w:val="21"/>
                <w:vertAlign w:val="baseline"/>
                <w:lang w:val="en-US" w:eastAsia="zh-CN"/>
              </w:rPr>
            </w:pPr>
            <w:r>
              <w:rPr>
                <w:rFonts w:hint="eastAsia"/>
                <w:sz w:val="21"/>
                <w:szCs w:val="21"/>
                <w:vertAlign w:val="baseline"/>
                <w:lang w:val="en-US" w:eastAsia="zh-CN"/>
              </w:rPr>
              <w:t>清洗结束后，聘请第三方公司的检测费及设备安全阀年检费等</w:t>
            </w:r>
          </w:p>
        </w:tc>
        <w:tc>
          <w:tcPr>
            <w:tcW w:w="2385" w:type="dxa"/>
          </w:tcPr>
          <w:p w14:paraId="1FEF45A8">
            <w:pPr>
              <w:jc w:val="center"/>
              <w:rPr>
                <w:rFonts w:hint="default"/>
                <w:sz w:val="21"/>
                <w:szCs w:val="21"/>
                <w:vertAlign w:val="baseline"/>
                <w:lang w:val="en-US" w:eastAsia="zh-CN"/>
              </w:rPr>
            </w:pPr>
          </w:p>
        </w:tc>
        <w:tc>
          <w:tcPr>
            <w:tcW w:w="1005" w:type="dxa"/>
          </w:tcPr>
          <w:p w14:paraId="4AFE3C01">
            <w:pPr>
              <w:jc w:val="center"/>
              <w:rPr>
                <w:rFonts w:hint="default"/>
                <w:sz w:val="21"/>
                <w:szCs w:val="21"/>
                <w:vertAlign w:val="baseline"/>
                <w:lang w:val="en-US" w:eastAsia="zh-CN"/>
              </w:rPr>
            </w:pPr>
          </w:p>
        </w:tc>
      </w:tr>
      <w:tr w14:paraId="7A98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68" w:type="dxa"/>
            <w:vAlign w:val="top"/>
          </w:tcPr>
          <w:p w14:paraId="329ED080">
            <w:pPr>
              <w:jc w:val="center"/>
              <w:rPr>
                <w:rFonts w:hint="default"/>
                <w:sz w:val="21"/>
                <w:szCs w:val="21"/>
                <w:vertAlign w:val="baseline"/>
                <w:lang w:val="en-US" w:eastAsia="zh-CN"/>
              </w:rPr>
            </w:pPr>
            <w:r>
              <w:rPr>
                <w:rFonts w:hint="eastAsia"/>
                <w:sz w:val="21"/>
                <w:szCs w:val="21"/>
                <w:vertAlign w:val="baseline"/>
                <w:lang w:val="en-US" w:eastAsia="zh-CN"/>
              </w:rPr>
              <w:t>5</w:t>
            </w:r>
          </w:p>
        </w:tc>
        <w:tc>
          <w:tcPr>
            <w:tcW w:w="683" w:type="dxa"/>
          </w:tcPr>
          <w:p w14:paraId="266243AA">
            <w:pPr>
              <w:jc w:val="center"/>
              <w:rPr>
                <w:rFonts w:hint="default"/>
                <w:sz w:val="21"/>
                <w:szCs w:val="21"/>
                <w:vertAlign w:val="baseline"/>
                <w:lang w:val="en-US" w:eastAsia="zh-CN"/>
              </w:rPr>
            </w:pPr>
            <w:r>
              <w:rPr>
                <w:rFonts w:hint="eastAsia"/>
                <w:sz w:val="21"/>
                <w:szCs w:val="21"/>
                <w:vertAlign w:val="baseline"/>
                <w:lang w:val="en-US" w:eastAsia="zh-CN"/>
              </w:rPr>
              <w:t>其他</w:t>
            </w:r>
          </w:p>
        </w:tc>
        <w:tc>
          <w:tcPr>
            <w:tcW w:w="3823" w:type="dxa"/>
          </w:tcPr>
          <w:p w14:paraId="6E47C683">
            <w:pPr>
              <w:jc w:val="center"/>
              <w:rPr>
                <w:rFonts w:hint="eastAsia"/>
                <w:sz w:val="21"/>
                <w:szCs w:val="21"/>
                <w:vertAlign w:val="baseline"/>
                <w:lang w:val="en-US" w:eastAsia="zh-CN"/>
              </w:rPr>
            </w:pPr>
          </w:p>
        </w:tc>
        <w:tc>
          <w:tcPr>
            <w:tcW w:w="2385" w:type="dxa"/>
          </w:tcPr>
          <w:p w14:paraId="59844ED7">
            <w:pPr>
              <w:jc w:val="center"/>
              <w:rPr>
                <w:rFonts w:hint="default"/>
                <w:sz w:val="21"/>
                <w:szCs w:val="21"/>
                <w:vertAlign w:val="baseline"/>
                <w:lang w:val="en-US" w:eastAsia="zh-CN"/>
              </w:rPr>
            </w:pPr>
          </w:p>
        </w:tc>
        <w:tc>
          <w:tcPr>
            <w:tcW w:w="1005" w:type="dxa"/>
          </w:tcPr>
          <w:p w14:paraId="6773F0FF">
            <w:pPr>
              <w:jc w:val="center"/>
              <w:rPr>
                <w:rFonts w:hint="default"/>
                <w:sz w:val="21"/>
                <w:szCs w:val="21"/>
                <w:vertAlign w:val="baseline"/>
                <w:lang w:val="en-US" w:eastAsia="zh-CN"/>
              </w:rPr>
            </w:pPr>
          </w:p>
        </w:tc>
      </w:tr>
    </w:tbl>
    <w:p w14:paraId="1559E8CD">
      <w:pPr>
        <w:jc w:val="both"/>
        <w:rPr>
          <w:rFonts w:hint="eastAsia"/>
          <w:lang w:val="en-US" w:eastAsia="zh-CN"/>
        </w:rPr>
      </w:pPr>
    </w:p>
    <w:p w14:paraId="24B0DA6F">
      <w:pPr>
        <w:ind w:firstLine="420" w:firstLineChars="200"/>
        <w:jc w:val="both"/>
        <w:rPr>
          <w:rFonts w:hint="eastAsia"/>
          <w:lang w:val="en-US" w:eastAsia="zh-CN"/>
        </w:rPr>
      </w:pPr>
      <w:r>
        <w:rPr>
          <w:rFonts w:hint="eastAsia"/>
          <w:lang w:val="en-US" w:eastAsia="zh-CN"/>
        </w:rPr>
        <w:t>供应商需按采购询价要求的维保内容进行报价；</w:t>
      </w:r>
    </w:p>
    <w:p w14:paraId="7459EB28">
      <w:pPr>
        <w:numPr>
          <w:ilvl w:val="0"/>
          <w:numId w:val="1"/>
        </w:numPr>
        <w:ind w:firstLine="420" w:firstLineChars="200"/>
        <w:jc w:val="both"/>
        <w:rPr>
          <w:rFonts w:hint="default"/>
          <w:lang w:val="en-US" w:eastAsia="zh-CN"/>
        </w:rPr>
      </w:pPr>
      <w:r>
        <w:rPr>
          <w:rFonts w:hint="eastAsia"/>
          <w:lang w:val="en-US" w:eastAsia="zh-CN"/>
        </w:rPr>
        <w:t>年维保费报价含人工、移机、材料等一切费用；</w:t>
      </w:r>
    </w:p>
    <w:p w14:paraId="2E039E5F">
      <w:pPr>
        <w:numPr>
          <w:ilvl w:val="0"/>
          <w:numId w:val="1"/>
        </w:numPr>
        <w:ind w:firstLine="420" w:firstLineChars="200"/>
        <w:jc w:val="both"/>
        <w:rPr>
          <w:rFonts w:hint="default"/>
          <w:lang w:val="en-US" w:eastAsia="zh-CN"/>
        </w:rPr>
      </w:pPr>
      <w:r>
        <w:rPr>
          <w:rFonts w:hint="eastAsia"/>
          <w:lang w:val="en-US" w:eastAsia="zh-CN"/>
        </w:rPr>
        <w:t>现场要求不少于4人24小时常驻现场服务，白班3人，晚班1人，驻点人员必须具备制冷维修或制冷运行作业证、高空作业证、压力容器作业证等相关运行所需证件；</w:t>
      </w:r>
    </w:p>
    <w:p w14:paraId="6F53C0CD">
      <w:pPr>
        <w:numPr>
          <w:ilvl w:val="0"/>
          <w:numId w:val="1"/>
        </w:numPr>
        <w:ind w:firstLine="420" w:firstLineChars="200"/>
        <w:jc w:val="both"/>
        <w:rPr>
          <w:rFonts w:hint="default"/>
          <w:lang w:val="en-US" w:eastAsia="zh-CN"/>
        </w:rPr>
      </w:pPr>
      <w:r>
        <w:rPr>
          <w:rFonts w:hint="eastAsia"/>
          <w:lang w:val="en-US" w:eastAsia="zh-CN"/>
        </w:rPr>
        <w:t>所有空调在安装验收合格投入使用后，都须供应商进行维保；</w:t>
      </w:r>
    </w:p>
    <w:p w14:paraId="3E5B63E9">
      <w:pPr>
        <w:numPr>
          <w:ilvl w:val="0"/>
          <w:numId w:val="1"/>
        </w:numPr>
        <w:ind w:firstLine="420" w:firstLineChars="200"/>
        <w:jc w:val="both"/>
        <w:rPr>
          <w:rFonts w:hint="default"/>
          <w:lang w:val="en-US" w:eastAsia="zh-CN"/>
        </w:rPr>
      </w:pPr>
      <w:r>
        <w:rPr>
          <w:rFonts w:hint="eastAsia"/>
          <w:lang w:val="en-US" w:eastAsia="zh-CN"/>
        </w:rPr>
        <w:t>内机清洗每月不少于 1 次；空调系统维护每季度不少于 1 次，每年冬夏季前一个月全院空调维护一次，确保空调使用高峰期正常工作；</w:t>
      </w:r>
    </w:p>
    <w:p w14:paraId="4E10ED23">
      <w:pPr>
        <w:numPr>
          <w:ilvl w:val="0"/>
          <w:numId w:val="1"/>
        </w:numPr>
        <w:ind w:firstLine="420" w:firstLineChars="200"/>
        <w:jc w:val="both"/>
        <w:rPr>
          <w:rFonts w:hint="default"/>
          <w:lang w:val="en-US" w:eastAsia="zh-CN"/>
        </w:rPr>
      </w:pPr>
      <w:r>
        <w:rPr>
          <w:rFonts w:hint="eastAsia"/>
          <w:lang w:val="en-US" w:eastAsia="zh-CN"/>
        </w:rPr>
        <w:t>设备维修保养更换设备零配件为厂家认可且符合设备正常运行参数的合格材料；</w:t>
      </w:r>
    </w:p>
    <w:p w14:paraId="1A1FE898">
      <w:pPr>
        <w:numPr>
          <w:ilvl w:val="0"/>
          <w:numId w:val="1"/>
        </w:numPr>
        <w:ind w:firstLine="420" w:firstLineChars="200"/>
        <w:jc w:val="both"/>
        <w:rPr>
          <w:rFonts w:hint="default"/>
          <w:lang w:val="en-US" w:eastAsia="zh-CN"/>
        </w:rPr>
      </w:pPr>
      <w:r>
        <w:rPr>
          <w:rFonts w:hint="eastAsia"/>
          <w:lang w:val="en-US" w:eastAsia="zh-CN"/>
        </w:rPr>
        <w:t>全院空调免费移机、拆装机、打洞、空调支架及每月十米内外机连接管费用；供冷季前冷却塔完整清洗、投药1次，磁悬浮离心机每年通炮一次，如达不到效果需增加清洗、投药及通炮频率。</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19C92"/>
    <w:multiLevelType w:val="singleLevel"/>
    <w:tmpl w:val="80A19C9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wNzg5ZjczMWZjMTc3YTQyNjQzZTBiZjBiOGVkZjgifQ=="/>
  </w:docVars>
  <w:rsids>
    <w:rsidRoot w:val="4FE7611A"/>
    <w:rsid w:val="021358C1"/>
    <w:rsid w:val="0322443C"/>
    <w:rsid w:val="095B721D"/>
    <w:rsid w:val="0B9C06D5"/>
    <w:rsid w:val="0E28666D"/>
    <w:rsid w:val="0F9E5BD3"/>
    <w:rsid w:val="16CA385E"/>
    <w:rsid w:val="180E4708"/>
    <w:rsid w:val="1C9553F8"/>
    <w:rsid w:val="2768023F"/>
    <w:rsid w:val="2B1A4D1A"/>
    <w:rsid w:val="2BB63A38"/>
    <w:rsid w:val="2C1A3224"/>
    <w:rsid w:val="2D564730"/>
    <w:rsid w:val="2F110E67"/>
    <w:rsid w:val="4FE7611A"/>
    <w:rsid w:val="56774221"/>
    <w:rsid w:val="6DCD73EF"/>
    <w:rsid w:val="79986B03"/>
    <w:rsid w:val="7A1738AF"/>
    <w:rsid w:val="7B445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510</Words>
  <Characters>511</Characters>
  <Lines>0</Lines>
  <Paragraphs>0</Paragraphs>
  <TotalTime>0</TotalTime>
  <ScaleCrop>false</ScaleCrop>
  <LinksUpToDate>false</LinksUpToDate>
  <CharactersWithSpaces>516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2025-07-22T01:09:00Z</dcterms:created>
  <dc:creator>程水傍</dc:creator>
  <cp:lastModifiedBy>万志松</cp:lastModifiedBy>
  <dcterms:modified xsi:type="dcterms:W3CDTF">2026-08-21T08:47:11Z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3C2D55BE5FF44030B9D72A9AA636C1EB_11</vt:lpwstr>
  </property>
  <property fmtid="{D5CDD505-2E9C-101B-9397-08002B2CF9AE}" pid="4" name="KSOTemplateDocerSaveRecord">
    <vt:lpwstr>eyJoZGlkIjoiMmNiZTYwOTM1ZjAxNDNkYTZiZTM4NTkyNWE2YjQ4ZmEiLCJ1c2VySWQiOiIxNjQ2MjM1NTQ3In0=</vt:lpwstr>
  </property>
</Properties>
</file>