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3E6F5">
      <w:pPr>
        <w:pStyle w:val="3"/>
        <w:spacing w:before="0" w:after="0" w:line="360" w:lineRule="auto"/>
        <w:jc w:val="center"/>
        <w:rPr>
          <w:rFonts w:hint="eastAsia" w:hAnsi="宋体"/>
          <w:sz w:val="44"/>
          <w:szCs w:val="44"/>
        </w:rPr>
      </w:pPr>
      <w:bookmarkStart w:id="0" w:name="_Toc110339554"/>
      <w:r>
        <w:rPr>
          <w:rFonts w:hint="eastAsia" w:hAnsi="宋体"/>
          <w:sz w:val="44"/>
          <w:szCs w:val="44"/>
        </w:rPr>
        <w:t>血透</w:t>
      </w:r>
      <w:r>
        <w:rPr>
          <w:rFonts w:hint="eastAsia" w:hAnsi="宋体"/>
          <w:sz w:val="44"/>
          <w:szCs w:val="44"/>
          <w:lang w:val="en-US" w:eastAsia="zh-CN"/>
        </w:rPr>
        <w:t>血滤</w:t>
      </w:r>
      <w:r>
        <w:rPr>
          <w:rFonts w:hint="eastAsia" w:hAnsi="宋体"/>
          <w:sz w:val="44"/>
          <w:szCs w:val="44"/>
        </w:rPr>
        <w:t>机设备维保服务</w:t>
      </w:r>
    </w:p>
    <w:p w14:paraId="627E10E7">
      <w:pPr>
        <w:pStyle w:val="3"/>
        <w:spacing w:before="0" w:after="0" w:line="360" w:lineRule="auto"/>
        <w:jc w:val="center"/>
        <w:rPr>
          <w:rFonts w:hint="eastAsia" w:eastAsia="宋体"/>
          <w:sz w:val="28"/>
          <w:szCs w:val="30"/>
          <w:lang w:val="en-US" w:eastAsia="zh-CN"/>
        </w:rPr>
      </w:pPr>
      <w:r>
        <w:rPr>
          <w:rFonts w:hint="eastAsia" w:hAnsi="宋体"/>
          <w:sz w:val="44"/>
          <w:szCs w:val="44"/>
        </w:rPr>
        <w:t>采购项目</w:t>
      </w:r>
      <w:r>
        <w:rPr>
          <w:rFonts w:hint="eastAsia" w:hAnsi="宋体"/>
          <w:sz w:val="44"/>
          <w:szCs w:val="44"/>
          <w:lang w:val="en-US" w:eastAsia="zh-CN"/>
        </w:rPr>
        <w:t>需</w:t>
      </w:r>
      <w:r>
        <w:rPr>
          <w:rFonts w:hint="eastAsia" w:hAnsi="宋体"/>
          <w:sz w:val="44"/>
          <w:szCs w:val="44"/>
        </w:rPr>
        <w:t>求</w:t>
      </w:r>
      <w:r>
        <w:rPr>
          <w:rFonts w:hint="eastAsia"/>
          <w:sz w:val="44"/>
          <w:szCs w:val="44"/>
          <w:lang w:val="en-US" w:eastAsia="zh-CN"/>
        </w:rPr>
        <w:t>文件</w:t>
      </w:r>
    </w:p>
    <w:p w14:paraId="295C26FB">
      <w:pPr>
        <w:pStyle w:val="3"/>
        <w:spacing w:before="0" w:after="0" w:line="360" w:lineRule="auto"/>
        <w:rPr>
          <w:sz w:val="28"/>
          <w:szCs w:val="30"/>
        </w:rPr>
      </w:pPr>
      <w:r>
        <w:rPr>
          <w:rFonts w:hint="eastAsia"/>
          <w:sz w:val="28"/>
          <w:szCs w:val="30"/>
        </w:rPr>
        <w:t>一、采购清单</w:t>
      </w:r>
    </w:p>
    <w:tbl>
      <w:tblPr>
        <w:tblStyle w:val="7"/>
        <w:tblW w:w="5000" w:type="pct"/>
        <w:jc w:val="center"/>
        <w:tblLayout w:type="fixed"/>
        <w:tblCellMar>
          <w:top w:w="0" w:type="dxa"/>
          <w:left w:w="108" w:type="dxa"/>
          <w:bottom w:w="0" w:type="dxa"/>
          <w:right w:w="108" w:type="dxa"/>
        </w:tblCellMar>
      </w:tblPr>
      <w:tblGrid>
        <w:gridCol w:w="754"/>
        <w:gridCol w:w="2466"/>
        <w:gridCol w:w="933"/>
        <w:gridCol w:w="783"/>
        <w:gridCol w:w="1178"/>
        <w:gridCol w:w="1178"/>
        <w:gridCol w:w="1230"/>
      </w:tblGrid>
      <w:tr w14:paraId="1702414B">
        <w:tblPrEx>
          <w:tblCellMar>
            <w:top w:w="0" w:type="dxa"/>
            <w:left w:w="108" w:type="dxa"/>
            <w:bottom w:w="0" w:type="dxa"/>
            <w:right w:w="108" w:type="dxa"/>
          </w:tblCellMar>
        </w:tblPrEx>
        <w:trPr>
          <w:trHeight w:val="577"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3A4A9D91">
            <w:pPr>
              <w:adjustRightInd w:val="0"/>
              <w:snapToGrid w:val="0"/>
              <w:jc w:val="center"/>
              <w:rPr>
                <w:rFonts w:ascii="宋体" w:hAnsi="宋体"/>
              </w:rPr>
            </w:pPr>
            <w:r>
              <w:rPr>
                <w:rFonts w:ascii="宋体" w:hAnsi="宋体"/>
                <w:b/>
              </w:rPr>
              <w:t>序号</w:t>
            </w:r>
          </w:p>
        </w:tc>
        <w:tc>
          <w:tcPr>
            <w:tcW w:w="1446" w:type="pct"/>
            <w:tcBorders>
              <w:top w:val="single" w:color="auto" w:sz="4" w:space="0"/>
              <w:left w:val="single" w:color="auto" w:sz="4" w:space="0"/>
              <w:bottom w:val="single" w:color="auto" w:sz="4" w:space="0"/>
              <w:right w:val="single" w:color="auto" w:sz="4" w:space="0"/>
            </w:tcBorders>
            <w:noWrap w:val="0"/>
            <w:vAlign w:val="center"/>
          </w:tcPr>
          <w:p w14:paraId="431E42D6">
            <w:pPr>
              <w:adjustRightInd w:val="0"/>
              <w:snapToGrid w:val="0"/>
              <w:jc w:val="center"/>
              <w:rPr>
                <w:rFonts w:ascii="宋体" w:hAnsi="宋体"/>
              </w:rPr>
            </w:pPr>
            <w:r>
              <w:rPr>
                <w:rFonts w:ascii="宋体" w:hAnsi="宋体"/>
                <w:b/>
              </w:rPr>
              <w:t>项目名称</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7EDC5EDC">
            <w:pPr>
              <w:adjustRightInd w:val="0"/>
              <w:snapToGrid w:val="0"/>
              <w:jc w:val="center"/>
              <w:rPr>
                <w:rFonts w:ascii="宋体" w:hAnsi="宋体"/>
              </w:rPr>
            </w:pPr>
            <w:r>
              <w:rPr>
                <w:rFonts w:ascii="宋体" w:hAnsi="宋体"/>
                <w:b/>
              </w:rPr>
              <w:t>数量（台）</w:t>
            </w:r>
          </w:p>
        </w:tc>
        <w:tc>
          <w:tcPr>
            <w:tcW w:w="459" w:type="pct"/>
            <w:tcBorders>
              <w:top w:val="single" w:color="auto" w:sz="4" w:space="0"/>
              <w:left w:val="single" w:color="auto" w:sz="4" w:space="0"/>
              <w:bottom w:val="single" w:color="auto" w:sz="4" w:space="0"/>
              <w:right w:val="single" w:color="auto" w:sz="4" w:space="0"/>
            </w:tcBorders>
            <w:noWrap w:val="0"/>
            <w:vAlign w:val="center"/>
          </w:tcPr>
          <w:p w14:paraId="5EBA3025">
            <w:pPr>
              <w:adjustRightInd w:val="0"/>
              <w:snapToGrid w:val="0"/>
              <w:jc w:val="center"/>
              <w:rPr>
                <w:rFonts w:ascii="宋体" w:hAnsi="宋体"/>
              </w:rPr>
            </w:pPr>
            <w:r>
              <w:rPr>
                <w:rFonts w:ascii="宋体" w:hAnsi="宋体"/>
                <w:b/>
              </w:rPr>
              <w:t>品牌</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61FB4B94">
            <w:pPr>
              <w:adjustRightInd w:val="0"/>
              <w:snapToGrid w:val="0"/>
              <w:jc w:val="center"/>
              <w:rPr>
                <w:rFonts w:ascii="宋体" w:hAnsi="宋体"/>
              </w:rPr>
            </w:pPr>
            <w:r>
              <w:rPr>
                <w:rFonts w:ascii="宋体" w:hAnsi="宋体"/>
                <w:b/>
              </w:rPr>
              <w:t>服务类别</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487B9098">
            <w:pPr>
              <w:adjustRightInd w:val="0"/>
              <w:snapToGrid w:val="0"/>
              <w:jc w:val="center"/>
              <w:rPr>
                <w:rFonts w:ascii="宋体" w:hAnsi="宋体"/>
              </w:rPr>
            </w:pPr>
            <w:r>
              <w:rPr>
                <w:rFonts w:ascii="宋体" w:hAnsi="宋体"/>
                <w:b/>
              </w:rPr>
              <w:t>服务期限</w:t>
            </w:r>
          </w:p>
        </w:tc>
        <w:tc>
          <w:tcPr>
            <w:tcW w:w="721" w:type="pct"/>
            <w:tcBorders>
              <w:top w:val="single" w:color="auto" w:sz="4" w:space="0"/>
              <w:left w:val="single" w:color="auto" w:sz="4" w:space="0"/>
              <w:bottom w:val="single" w:color="auto" w:sz="4" w:space="0"/>
              <w:right w:val="single" w:color="auto" w:sz="4" w:space="0"/>
            </w:tcBorders>
            <w:noWrap w:val="0"/>
            <w:vAlign w:val="center"/>
          </w:tcPr>
          <w:p w14:paraId="5894599A">
            <w:pPr>
              <w:adjustRightInd w:val="0"/>
              <w:snapToGrid w:val="0"/>
              <w:jc w:val="center"/>
              <w:rPr>
                <w:rFonts w:ascii="宋体" w:hAnsi="宋体"/>
              </w:rPr>
            </w:pPr>
            <w:r>
              <w:rPr>
                <w:rFonts w:ascii="宋体" w:hAnsi="宋体"/>
                <w:b/>
              </w:rPr>
              <w:t>服务地点</w:t>
            </w:r>
          </w:p>
        </w:tc>
      </w:tr>
      <w:tr w14:paraId="635A2FEE">
        <w:tblPrEx>
          <w:tblCellMar>
            <w:top w:w="0" w:type="dxa"/>
            <w:left w:w="108" w:type="dxa"/>
            <w:bottom w:w="0" w:type="dxa"/>
            <w:right w:w="108" w:type="dxa"/>
          </w:tblCellMar>
        </w:tblPrEx>
        <w:trPr>
          <w:trHeight w:val="840"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64861C7E">
            <w:pPr>
              <w:adjustRightInd w:val="0"/>
              <w:snapToGrid w:val="0"/>
              <w:jc w:val="center"/>
              <w:rPr>
                <w:rFonts w:ascii="宋体" w:hAnsi="宋体"/>
              </w:rPr>
            </w:pPr>
            <w:r>
              <w:rPr>
                <w:rFonts w:ascii="宋体" w:hAnsi="宋体"/>
              </w:rPr>
              <w:t>1</w:t>
            </w:r>
          </w:p>
        </w:tc>
        <w:tc>
          <w:tcPr>
            <w:tcW w:w="1446" w:type="pct"/>
            <w:tcBorders>
              <w:top w:val="single" w:color="auto" w:sz="4" w:space="0"/>
              <w:left w:val="single" w:color="auto" w:sz="4" w:space="0"/>
              <w:bottom w:val="single" w:color="auto" w:sz="4" w:space="0"/>
              <w:right w:val="single" w:color="auto" w:sz="4" w:space="0"/>
            </w:tcBorders>
            <w:noWrap w:val="0"/>
            <w:vAlign w:val="center"/>
          </w:tcPr>
          <w:p w14:paraId="45E3917B">
            <w:pPr>
              <w:adjustRightInd w:val="0"/>
              <w:snapToGrid w:val="0"/>
              <w:jc w:val="center"/>
              <w:rPr>
                <w:rFonts w:ascii="宋体" w:hAnsi="宋体"/>
              </w:rPr>
            </w:pPr>
            <w:r>
              <w:rPr>
                <w:rFonts w:hint="eastAsia" w:ascii="宋体" w:hAnsi="宋体"/>
                <w:kern w:val="0"/>
                <w:lang w:val="en-US" w:eastAsia="zh-CN"/>
              </w:rPr>
              <w:t>血透、血滤机</w:t>
            </w:r>
            <w:r>
              <w:rPr>
                <w:rFonts w:ascii="宋体" w:hAnsi="宋体"/>
                <w:kern w:val="0"/>
              </w:rPr>
              <w:t>维保服务</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4ECB20D0">
            <w:pPr>
              <w:adjustRightInd w:val="0"/>
              <w:snapToGrid w:val="0"/>
              <w:jc w:val="center"/>
              <w:rPr>
                <w:rFonts w:hint="default" w:ascii="宋体" w:hAnsi="宋体" w:eastAsia="宋体"/>
                <w:lang w:val="en-US" w:eastAsia="zh-CN"/>
              </w:rPr>
            </w:pPr>
            <w:r>
              <w:rPr>
                <w:rFonts w:hint="eastAsia" w:ascii="宋体" w:hAnsi="宋体"/>
                <w:color w:val="000000"/>
                <w:lang w:val="en-US" w:eastAsia="zh-CN"/>
              </w:rPr>
              <w:t>18</w:t>
            </w:r>
          </w:p>
        </w:tc>
        <w:tc>
          <w:tcPr>
            <w:tcW w:w="459" w:type="pct"/>
            <w:tcBorders>
              <w:top w:val="single" w:color="auto" w:sz="4" w:space="0"/>
              <w:left w:val="single" w:color="auto" w:sz="4" w:space="0"/>
              <w:bottom w:val="single" w:color="auto" w:sz="4" w:space="0"/>
              <w:right w:val="single" w:color="auto" w:sz="4" w:space="0"/>
            </w:tcBorders>
            <w:noWrap w:val="0"/>
            <w:vAlign w:val="center"/>
          </w:tcPr>
          <w:p w14:paraId="6DB8EC73">
            <w:pPr>
              <w:adjustRightInd w:val="0"/>
              <w:snapToGrid w:val="0"/>
              <w:jc w:val="center"/>
              <w:rPr>
                <w:rFonts w:hint="eastAsia" w:ascii="宋体" w:hAnsi="宋体" w:eastAsia="宋体"/>
                <w:lang w:eastAsia="zh-CN"/>
              </w:rPr>
            </w:pPr>
            <w:r>
              <w:rPr>
                <w:rFonts w:hint="eastAsia" w:ascii="宋体" w:hAnsi="宋体"/>
                <w:lang w:val="en-US" w:eastAsia="zh-CN"/>
              </w:rPr>
              <w:t>贝朗</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26413ABF">
            <w:pPr>
              <w:adjustRightInd w:val="0"/>
              <w:snapToGrid w:val="0"/>
              <w:jc w:val="center"/>
              <w:rPr>
                <w:rFonts w:ascii="宋体" w:hAnsi="宋体"/>
              </w:rPr>
            </w:pPr>
            <w:r>
              <w:rPr>
                <w:rFonts w:ascii="宋体" w:hAnsi="宋体"/>
              </w:rPr>
              <w:t>全保</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02B0E8E1">
            <w:pPr>
              <w:adjustRightInd w:val="0"/>
              <w:snapToGrid w:val="0"/>
              <w:jc w:val="center"/>
              <w:rPr>
                <w:rFonts w:ascii="宋体" w:hAnsi="宋体"/>
              </w:rPr>
            </w:pPr>
            <w:r>
              <w:rPr>
                <w:rFonts w:hint="eastAsia" w:ascii="宋体" w:hAnsi="宋体"/>
                <w:lang w:val="en-US" w:eastAsia="zh-CN"/>
              </w:rPr>
              <w:t>一</w:t>
            </w:r>
            <w:r>
              <w:rPr>
                <w:rFonts w:ascii="宋体" w:hAnsi="宋体"/>
              </w:rPr>
              <w:t>年</w:t>
            </w:r>
          </w:p>
        </w:tc>
        <w:tc>
          <w:tcPr>
            <w:tcW w:w="721" w:type="pct"/>
            <w:tcBorders>
              <w:top w:val="single" w:color="auto" w:sz="4" w:space="0"/>
              <w:left w:val="single" w:color="auto" w:sz="4" w:space="0"/>
              <w:bottom w:val="single" w:color="auto" w:sz="4" w:space="0"/>
              <w:right w:val="single" w:color="auto" w:sz="4" w:space="0"/>
            </w:tcBorders>
            <w:noWrap w:val="0"/>
            <w:vAlign w:val="center"/>
          </w:tcPr>
          <w:p w14:paraId="5DE9836C">
            <w:pPr>
              <w:adjustRightInd w:val="0"/>
              <w:snapToGrid w:val="0"/>
              <w:jc w:val="center"/>
              <w:rPr>
                <w:rFonts w:ascii="宋体" w:hAnsi="宋体"/>
              </w:rPr>
            </w:pPr>
            <w:r>
              <w:rPr>
                <w:rFonts w:hint="eastAsia" w:ascii="宋体" w:hAnsi="宋体"/>
              </w:rPr>
              <w:t>采购人指定地点</w:t>
            </w:r>
          </w:p>
        </w:tc>
      </w:tr>
    </w:tbl>
    <w:p w14:paraId="38D4AA7C">
      <w:pPr>
        <w:pageBreakBefore w:val="0"/>
        <w:widowControl w:val="0"/>
        <w:kinsoku/>
        <w:wordWrap/>
        <w:overflowPunct/>
        <w:topLinePunct w:val="0"/>
        <w:autoSpaceDE/>
        <w:autoSpaceDN/>
        <w:bidi w:val="0"/>
        <w:adjustRightInd w:val="0"/>
        <w:snapToGrid w:val="0"/>
        <w:spacing w:line="560" w:lineRule="exact"/>
        <w:jc w:val="left"/>
        <w:textAlignment w:val="auto"/>
        <w:rPr>
          <w:rFonts w:hint="default" w:ascii="宋体" w:hAnsi="宋体"/>
          <w:lang w:val="en-US" w:eastAsia="zh-CN"/>
        </w:rPr>
      </w:pPr>
      <w:r>
        <w:rPr>
          <w:rFonts w:hint="eastAsia" w:ascii="宋体" w:hAnsi="宋体"/>
        </w:rPr>
        <w:t>设备序列号：SN：</w:t>
      </w:r>
      <w:r>
        <w:rPr>
          <w:rFonts w:hint="default" w:ascii="宋体" w:hAnsi="宋体"/>
          <w:lang w:val="en-US" w:eastAsia="zh-CN"/>
        </w:rPr>
        <w:t>220654</w:t>
      </w:r>
      <w:r>
        <w:rPr>
          <w:rFonts w:hint="eastAsia" w:ascii="宋体" w:hAnsi="宋体"/>
          <w:lang w:val="en-US" w:eastAsia="zh-CN"/>
        </w:rPr>
        <w:t>，</w:t>
      </w:r>
      <w:r>
        <w:rPr>
          <w:rFonts w:hint="default" w:ascii="宋体" w:hAnsi="宋体"/>
          <w:lang w:val="en-US" w:eastAsia="zh-CN"/>
        </w:rPr>
        <w:t>220655</w:t>
      </w:r>
      <w:r>
        <w:rPr>
          <w:rFonts w:hint="eastAsia" w:ascii="宋体" w:hAnsi="宋体"/>
          <w:lang w:val="en-US" w:eastAsia="zh-CN"/>
        </w:rPr>
        <w:t>，</w:t>
      </w:r>
      <w:r>
        <w:rPr>
          <w:rFonts w:hint="default" w:ascii="宋体" w:hAnsi="宋体"/>
          <w:lang w:val="en-US" w:eastAsia="zh-CN"/>
        </w:rPr>
        <w:t>220575</w:t>
      </w:r>
      <w:r>
        <w:rPr>
          <w:rFonts w:hint="eastAsia" w:ascii="宋体" w:hAnsi="宋体"/>
          <w:lang w:val="en-US" w:eastAsia="zh-CN"/>
        </w:rPr>
        <w:t>，</w:t>
      </w:r>
      <w:r>
        <w:rPr>
          <w:rFonts w:hint="default" w:ascii="宋体" w:hAnsi="宋体"/>
          <w:lang w:val="en-US" w:eastAsia="zh-CN"/>
        </w:rPr>
        <w:t>220563</w:t>
      </w:r>
      <w:r>
        <w:rPr>
          <w:rFonts w:hint="eastAsia" w:ascii="宋体" w:hAnsi="宋体"/>
          <w:lang w:val="en-US" w:eastAsia="zh-CN"/>
        </w:rPr>
        <w:t>，</w:t>
      </w:r>
      <w:r>
        <w:rPr>
          <w:rFonts w:hint="default" w:ascii="宋体" w:hAnsi="宋体"/>
          <w:lang w:val="en-US" w:eastAsia="zh-CN"/>
        </w:rPr>
        <w:t>304454</w:t>
      </w:r>
      <w:r>
        <w:rPr>
          <w:rFonts w:hint="eastAsia" w:ascii="宋体" w:hAnsi="宋体"/>
          <w:lang w:val="en-US" w:eastAsia="zh-CN"/>
        </w:rPr>
        <w:t>，</w:t>
      </w:r>
      <w:r>
        <w:rPr>
          <w:rFonts w:hint="default" w:ascii="宋体" w:hAnsi="宋体"/>
          <w:lang w:val="en-US" w:eastAsia="zh-CN"/>
        </w:rPr>
        <w:t>218553</w:t>
      </w:r>
      <w:r>
        <w:rPr>
          <w:rFonts w:hint="eastAsia" w:ascii="宋体" w:hAnsi="宋体"/>
          <w:lang w:val="en-US" w:eastAsia="zh-CN"/>
        </w:rPr>
        <w:t>，</w:t>
      </w:r>
      <w:r>
        <w:rPr>
          <w:rFonts w:hint="default" w:ascii="宋体" w:hAnsi="宋体"/>
          <w:lang w:val="en-US" w:eastAsia="zh-CN"/>
        </w:rPr>
        <w:t>304471</w:t>
      </w:r>
      <w:r>
        <w:rPr>
          <w:rFonts w:hint="eastAsia" w:ascii="宋体" w:hAnsi="宋体"/>
          <w:lang w:val="en-US" w:eastAsia="zh-CN"/>
        </w:rPr>
        <w:t>，</w:t>
      </w:r>
      <w:r>
        <w:rPr>
          <w:rFonts w:hint="default" w:ascii="宋体" w:hAnsi="宋体"/>
          <w:lang w:val="en-US" w:eastAsia="zh-CN"/>
        </w:rPr>
        <w:t>220572</w:t>
      </w:r>
      <w:r>
        <w:rPr>
          <w:rFonts w:hint="eastAsia" w:ascii="宋体" w:hAnsi="宋体"/>
          <w:lang w:val="en-US" w:eastAsia="zh-CN"/>
        </w:rPr>
        <w:t>，</w:t>
      </w:r>
      <w:r>
        <w:rPr>
          <w:rFonts w:hint="default" w:ascii="宋体" w:hAnsi="宋体"/>
          <w:lang w:val="en-US" w:eastAsia="zh-CN"/>
        </w:rPr>
        <w:t>220577</w:t>
      </w:r>
      <w:r>
        <w:rPr>
          <w:rFonts w:hint="eastAsia" w:ascii="宋体" w:hAnsi="宋体"/>
          <w:lang w:val="en-US" w:eastAsia="zh-CN"/>
        </w:rPr>
        <w:t>，</w:t>
      </w:r>
      <w:r>
        <w:rPr>
          <w:rFonts w:hint="default" w:ascii="宋体" w:hAnsi="宋体"/>
          <w:lang w:val="en-US" w:eastAsia="zh-CN"/>
        </w:rPr>
        <w:t>218481</w:t>
      </w:r>
      <w:r>
        <w:rPr>
          <w:rFonts w:hint="eastAsia" w:ascii="宋体" w:hAnsi="宋体"/>
          <w:lang w:val="en-US" w:eastAsia="zh-CN"/>
        </w:rPr>
        <w:t>，</w:t>
      </w:r>
      <w:r>
        <w:rPr>
          <w:rFonts w:hint="default" w:ascii="宋体" w:hAnsi="宋体"/>
          <w:lang w:val="en-US" w:eastAsia="zh-CN"/>
        </w:rPr>
        <w:t>218482</w:t>
      </w:r>
      <w:r>
        <w:rPr>
          <w:rFonts w:hint="eastAsia" w:ascii="宋体" w:hAnsi="宋体"/>
          <w:lang w:val="en-US" w:eastAsia="zh-CN"/>
        </w:rPr>
        <w:t>，</w:t>
      </w:r>
      <w:r>
        <w:rPr>
          <w:rFonts w:hint="default" w:ascii="宋体" w:hAnsi="宋体"/>
          <w:lang w:val="en-US" w:eastAsia="zh-CN"/>
        </w:rPr>
        <w:t>304472</w:t>
      </w:r>
      <w:r>
        <w:rPr>
          <w:rFonts w:hint="eastAsia" w:ascii="宋体" w:hAnsi="宋体"/>
          <w:lang w:val="en-US" w:eastAsia="zh-CN"/>
        </w:rPr>
        <w:t>，</w:t>
      </w:r>
      <w:r>
        <w:rPr>
          <w:rFonts w:hint="default" w:ascii="宋体" w:hAnsi="宋体"/>
          <w:lang w:val="en-US" w:eastAsia="zh-CN"/>
        </w:rPr>
        <w:t>220652</w:t>
      </w:r>
      <w:r>
        <w:rPr>
          <w:rFonts w:hint="eastAsia" w:ascii="宋体" w:hAnsi="宋体"/>
          <w:lang w:val="en-US" w:eastAsia="zh-CN"/>
        </w:rPr>
        <w:t>，</w:t>
      </w:r>
      <w:r>
        <w:rPr>
          <w:rFonts w:hint="default" w:ascii="宋体" w:hAnsi="宋体"/>
          <w:lang w:val="en-US" w:eastAsia="zh-CN"/>
        </w:rPr>
        <w:t>220653</w:t>
      </w:r>
      <w:r>
        <w:rPr>
          <w:rFonts w:hint="eastAsia" w:ascii="宋体" w:hAnsi="宋体"/>
          <w:lang w:val="en-US" w:eastAsia="zh-CN"/>
        </w:rPr>
        <w:t>，</w:t>
      </w:r>
      <w:r>
        <w:rPr>
          <w:rFonts w:hint="default" w:ascii="宋体" w:hAnsi="宋体"/>
          <w:lang w:val="en-US" w:eastAsia="zh-CN"/>
        </w:rPr>
        <w:t>304555</w:t>
      </w:r>
      <w:r>
        <w:rPr>
          <w:rFonts w:hint="eastAsia" w:ascii="宋体" w:hAnsi="宋体"/>
          <w:lang w:val="en-US" w:eastAsia="zh-CN"/>
        </w:rPr>
        <w:t>，</w:t>
      </w:r>
      <w:r>
        <w:rPr>
          <w:rFonts w:hint="default" w:ascii="宋体" w:hAnsi="宋体"/>
          <w:lang w:val="en-US" w:eastAsia="zh-CN"/>
        </w:rPr>
        <w:t>218479</w:t>
      </w:r>
      <w:r>
        <w:rPr>
          <w:rFonts w:hint="eastAsia" w:ascii="宋体" w:hAnsi="宋体"/>
          <w:lang w:val="en-US" w:eastAsia="zh-CN"/>
        </w:rPr>
        <w:t>，</w:t>
      </w:r>
      <w:r>
        <w:rPr>
          <w:rFonts w:hint="default" w:ascii="宋体" w:hAnsi="宋体"/>
          <w:lang w:val="en-US" w:eastAsia="zh-CN"/>
        </w:rPr>
        <w:t>218480</w:t>
      </w:r>
      <w:r>
        <w:rPr>
          <w:rFonts w:hint="eastAsia" w:ascii="宋体" w:hAnsi="宋体"/>
          <w:lang w:val="en-US" w:eastAsia="zh-CN"/>
        </w:rPr>
        <w:t>，</w:t>
      </w:r>
      <w:r>
        <w:rPr>
          <w:rFonts w:hint="default" w:ascii="宋体" w:hAnsi="宋体"/>
          <w:lang w:val="en-US" w:eastAsia="zh-CN"/>
        </w:rPr>
        <w:t>220574</w:t>
      </w:r>
      <w:r>
        <w:rPr>
          <w:rFonts w:hint="eastAsia" w:ascii="宋体" w:hAnsi="宋体"/>
          <w:lang w:val="en-US" w:eastAsia="zh-CN"/>
        </w:rPr>
        <w:t>。</w:t>
      </w:r>
    </w:p>
    <w:p w14:paraId="18317154">
      <w:pPr>
        <w:pageBreakBefore w:val="0"/>
        <w:widowControl w:val="0"/>
        <w:kinsoku/>
        <w:wordWrap/>
        <w:overflowPunct/>
        <w:topLinePunct w:val="0"/>
        <w:autoSpaceDE/>
        <w:autoSpaceDN/>
        <w:bidi w:val="0"/>
        <w:adjustRightInd w:val="0"/>
        <w:snapToGrid w:val="0"/>
        <w:spacing w:line="480" w:lineRule="exact"/>
        <w:jc w:val="left"/>
        <w:textAlignment w:val="auto"/>
        <w:rPr>
          <w:rFonts w:ascii="宋体" w:hAnsi="宋体" w:cs="仿宋"/>
          <w:b/>
          <w:bCs/>
          <w:szCs w:val="24"/>
        </w:rPr>
      </w:pPr>
      <w:r>
        <w:rPr>
          <w:rFonts w:hint="eastAsia"/>
          <w:sz w:val="28"/>
          <w:szCs w:val="30"/>
        </w:rPr>
        <w:t>二、</w:t>
      </w:r>
      <w:bookmarkEnd w:id="0"/>
      <w:r>
        <w:rPr>
          <w:rFonts w:hint="eastAsia" w:ascii="宋体" w:hAnsi="宋体" w:eastAsia="宋体" w:cs="Times New Roman"/>
          <w:b/>
          <w:bCs/>
          <w:kern w:val="0"/>
          <w:sz w:val="28"/>
          <w:szCs w:val="30"/>
          <w:lang w:val="en-US" w:eastAsia="zh-CN" w:bidi="ar-SA"/>
        </w:rPr>
        <w:t>项目概况</w:t>
      </w:r>
    </w:p>
    <w:p w14:paraId="4B395CBB">
      <w:pPr>
        <w:pStyle w:val="4"/>
        <w:pageBreakBefore w:val="0"/>
        <w:widowControl w:val="0"/>
        <w:kinsoku/>
        <w:wordWrap/>
        <w:overflowPunct/>
        <w:topLinePunct w:val="0"/>
        <w:autoSpaceDE/>
        <w:autoSpaceDN/>
        <w:bidi w:val="0"/>
        <w:adjustRightInd w:val="0"/>
        <w:snapToGrid w:val="0"/>
        <w:spacing w:before="0" w:after="0" w:line="480" w:lineRule="exact"/>
        <w:ind w:right="-10"/>
        <w:textAlignment w:val="auto"/>
        <w:rPr>
          <w:rFonts w:hint="eastAsia" w:ascii="宋体" w:hAnsi="宋体"/>
        </w:rPr>
      </w:pPr>
      <w:r>
        <w:rPr>
          <w:rFonts w:hint="eastAsia" w:ascii="宋体" w:hAnsi="宋体"/>
        </w:rPr>
        <w:t>1.项目名称：</w:t>
      </w:r>
      <w:r>
        <w:rPr>
          <w:rFonts w:hint="eastAsia" w:ascii="宋体" w:hAnsi="宋体"/>
          <w:kern w:val="0"/>
          <w:lang w:val="en-US" w:eastAsia="zh-CN"/>
        </w:rPr>
        <w:t>血透、血滤机</w:t>
      </w:r>
      <w:r>
        <w:rPr>
          <w:rFonts w:hint="eastAsia" w:ascii="宋体" w:hAnsi="宋体"/>
        </w:rPr>
        <w:t>维保服务。</w:t>
      </w:r>
    </w:p>
    <w:p w14:paraId="08BB5E62">
      <w:pPr>
        <w:pStyle w:val="4"/>
        <w:pageBreakBefore w:val="0"/>
        <w:widowControl w:val="0"/>
        <w:kinsoku/>
        <w:wordWrap/>
        <w:overflowPunct/>
        <w:topLinePunct w:val="0"/>
        <w:autoSpaceDE/>
        <w:autoSpaceDN/>
        <w:bidi w:val="0"/>
        <w:adjustRightInd w:val="0"/>
        <w:snapToGrid w:val="0"/>
        <w:spacing w:before="0" w:after="0" w:line="480" w:lineRule="exact"/>
        <w:ind w:right="-10"/>
        <w:textAlignment w:val="auto"/>
        <w:rPr>
          <w:rFonts w:hint="eastAsia" w:ascii="宋体" w:hAnsi="宋体"/>
        </w:rPr>
      </w:pPr>
      <w:r>
        <w:rPr>
          <w:rFonts w:hint="eastAsia" w:ascii="宋体" w:hAnsi="宋体"/>
        </w:rPr>
        <w:t>2.设备品牌：</w:t>
      </w:r>
      <w:r>
        <w:rPr>
          <w:rFonts w:hint="eastAsia" w:ascii="宋体" w:hAnsi="宋体"/>
          <w:lang w:val="en-US" w:eastAsia="zh-CN"/>
        </w:rPr>
        <w:t>贝朗</w:t>
      </w:r>
      <w:r>
        <w:rPr>
          <w:rFonts w:hint="eastAsia" w:ascii="宋体" w:hAnsi="宋体"/>
        </w:rPr>
        <w:t>。</w:t>
      </w:r>
    </w:p>
    <w:p w14:paraId="04632C50">
      <w:pPr>
        <w:pStyle w:val="4"/>
        <w:pageBreakBefore w:val="0"/>
        <w:widowControl w:val="0"/>
        <w:kinsoku/>
        <w:wordWrap/>
        <w:overflowPunct/>
        <w:topLinePunct w:val="0"/>
        <w:autoSpaceDE/>
        <w:autoSpaceDN/>
        <w:bidi w:val="0"/>
        <w:adjustRightInd w:val="0"/>
        <w:snapToGrid w:val="0"/>
        <w:spacing w:before="0" w:after="0" w:line="480" w:lineRule="exact"/>
        <w:ind w:right="-10"/>
        <w:textAlignment w:val="auto"/>
        <w:rPr>
          <w:rFonts w:hint="eastAsia" w:ascii="宋体" w:hAnsi="宋体" w:eastAsia="宋体"/>
          <w:lang w:eastAsia="zh-CN"/>
        </w:rPr>
      </w:pPr>
      <w:r>
        <w:rPr>
          <w:rFonts w:hint="eastAsia" w:ascii="宋体" w:hAnsi="宋体"/>
        </w:rPr>
        <w:t>3.维保类别:全保，含所有零配件、人工保、人工劳务、差旅、运输、调试、税费等与维保保养所有相关费用，采购人不再支付任何费用；不涵盖设备相关血透及血滤耗材</w:t>
      </w:r>
      <w:r>
        <w:rPr>
          <w:rFonts w:hint="eastAsia" w:ascii="宋体" w:hAnsi="宋体"/>
          <w:lang w:eastAsia="zh-CN"/>
        </w:rPr>
        <w:t>。</w:t>
      </w:r>
    </w:p>
    <w:p w14:paraId="735B621D">
      <w:pPr>
        <w:pStyle w:val="4"/>
        <w:pageBreakBefore w:val="0"/>
        <w:widowControl w:val="0"/>
        <w:kinsoku/>
        <w:wordWrap/>
        <w:overflowPunct/>
        <w:topLinePunct w:val="0"/>
        <w:autoSpaceDE/>
        <w:autoSpaceDN/>
        <w:bidi w:val="0"/>
        <w:adjustRightInd w:val="0"/>
        <w:snapToGrid w:val="0"/>
        <w:spacing w:before="0" w:after="0" w:line="480" w:lineRule="exact"/>
        <w:ind w:right="-10"/>
        <w:textAlignment w:val="auto"/>
        <w:rPr>
          <w:rFonts w:hint="eastAsia" w:ascii="宋体" w:hAnsi="宋体" w:eastAsia="宋体"/>
          <w:lang w:eastAsia="zh-CN"/>
        </w:rPr>
      </w:pPr>
      <w:r>
        <w:rPr>
          <w:rFonts w:hint="eastAsia" w:ascii="宋体" w:hAnsi="宋体"/>
        </w:rPr>
        <w:t>4.维保期限：</w:t>
      </w:r>
      <w:r>
        <w:rPr>
          <w:rFonts w:hint="eastAsia" w:ascii="宋体" w:hAnsi="宋体"/>
          <w:lang w:val="en-US" w:eastAsia="zh-CN"/>
        </w:rPr>
        <w:t>一</w:t>
      </w:r>
      <w:r>
        <w:rPr>
          <w:rFonts w:hint="eastAsia" w:ascii="宋体" w:hAnsi="宋体"/>
        </w:rPr>
        <w:t>年</w:t>
      </w:r>
      <w:r>
        <w:rPr>
          <w:rFonts w:hint="eastAsia" w:ascii="宋体" w:hAnsi="宋体"/>
          <w:lang w:eastAsia="zh-CN"/>
        </w:rPr>
        <w:t>。</w:t>
      </w:r>
    </w:p>
    <w:p w14:paraId="2F9A0A6A">
      <w:pPr>
        <w:rPr>
          <w:rFonts w:hint="eastAsia"/>
          <w:lang w:val="en-US" w:eastAsia="zh-CN"/>
        </w:rPr>
      </w:pPr>
      <w:r>
        <w:rPr>
          <w:rFonts w:hint="eastAsia"/>
          <w:lang w:val="en-US" w:eastAsia="zh-CN"/>
        </w:rPr>
        <w:br w:type="page"/>
      </w:r>
    </w:p>
    <w:p w14:paraId="2B1EB719">
      <w:pPr>
        <w:pStyle w:val="2"/>
        <w:pageBreakBefore w:val="0"/>
        <w:kinsoku/>
        <w:wordWrap/>
        <w:overflowPunct/>
        <w:topLinePunct w:val="0"/>
        <w:autoSpaceDE/>
        <w:autoSpaceDN/>
        <w:bidi w:val="0"/>
        <w:adjustRightInd w:val="0"/>
        <w:snapToGrid w:val="0"/>
        <w:spacing w:before="0" w:after="0" w:line="240" w:lineRule="auto"/>
        <w:jc w:val="center"/>
        <w:rPr>
          <w:rFonts w:hint="eastAsia" w:eastAsia="宋体"/>
          <w:lang w:val="en-US" w:eastAsia="zh-CN"/>
        </w:rPr>
      </w:pPr>
      <w:r>
        <w:rPr>
          <w:rFonts w:hint="eastAsia"/>
          <w:lang w:val="en-US" w:eastAsia="zh-CN"/>
        </w:rPr>
        <w:t>响应偏离表</w:t>
      </w:r>
    </w:p>
    <w:tbl>
      <w:tblPr>
        <w:tblStyle w:val="7"/>
        <w:tblW w:w="9439" w:type="dxa"/>
        <w:tblInd w:w="0" w:type="dxa"/>
        <w:tblLayout w:type="fixed"/>
        <w:tblCellMar>
          <w:top w:w="0" w:type="dxa"/>
          <w:left w:w="108" w:type="dxa"/>
          <w:bottom w:w="0" w:type="dxa"/>
          <w:right w:w="108" w:type="dxa"/>
        </w:tblCellMar>
      </w:tblPr>
      <w:tblGrid>
        <w:gridCol w:w="1221"/>
        <w:gridCol w:w="6180"/>
        <w:gridCol w:w="1050"/>
        <w:gridCol w:w="988"/>
      </w:tblGrid>
      <w:tr w14:paraId="69B78922">
        <w:tblPrEx>
          <w:tblCellMar>
            <w:top w:w="0" w:type="dxa"/>
            <w:left w:w="108" w:type="dxa"/>
            <w:bottom w:w="0" w:type="dxa"/>
            <w:right w:w="108" w:type="dxa"/>
          </w:tblCellMar>
        </w:tblPrEx>
        <w:trPr>
          <w:trHeight w:val="482" w:hRule="atLeast"/>
        </w:trPr>
        <w:tc>
          <w:tcPr>
            <w:tcW w:w="943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4C14">
            <w:pPr>
              <w:pageBreakBefore w:val="0"/>
              <w:widowControl/>
              <w:kinsoku/>
              <w:wordWrap/>
              <w:overflowPunct/>
              <w:topLinePunct w:val="0"/>
              <w:autoSpaceDE/>
              <w:autoSpaceDN/>
              <w:bidi w:val="0"/>
              <w:adjustRightInd w:val="0"/>
              <w:snapToGrid w:val="0"/>
              <w:spacing w:line="240" w:lineRule="auto"/>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0BE6F3F7">
        <w:tblPrEx>
          <w:tblCellMar>
            <w:top w:w="0" w:type="dxa"/>
            <w:left w:w="108" w:type="dxa"/>
            <w:bottom w:w="0" w:type="dxa"/>
            <w:right w:w="108" w:type="dxa"/>
          </w:tblCellMar>
        </w:tblPrEx>
        <w:trPr>
          <w:trHeight w:val="48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B8B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宋体" w:hAnsi="宋体" w:cs="宋体"/>
                <w:b w:val="0"/>
                <w:bCs w:val="0"/>
                <w:color w:val="000000" w:themeColor="text1"/>
                <w:sz w:val="24"/>
                <w:szCs w:val="24"/>
                <w:lang w:val="en-US" w:eastAsia="zh-CN"/>
                <w14:textFill>
                  <w14:solidFill>
                    <w14:schemeClr w14:val="tx1"/>
                  </w14:solidFill>
                </w14:textFill>
              </w:rPr>
            </w:pP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FAA6">
            <w:pPr>
              <w:numPr>
                <w:ilvl w:val="0"/>
                <w:numId w:val="0"/>
              </w:numPr>
              <w:spacing w:line="360" w:lineRule="auto"/>
              <w:rPr>
                <w:rFonts w:hint="eastAsia" w:ascii="宋体" w:hAnsi="宋体"/>
                <w:szCs w:val="21"/>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DE1A">
            <w:pPr>
              <w:widowControl/>
              <w:spacing w:line="300" w:lineRule="exact"/>
              <w:jc w:val="center"/>
              <w:textAlignment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AED5">
            <w:pPr>
              <w:widowControl/>
              <w:spacing w:line="300" w:lineRule="exact"/>
              <w:jc w:val="center"/>
              <w:textAlignment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20633A4C">
        <w:tblPrEx>
          <w:tblCellMar>
            <w:top w:w="0" w:type="dxa"/>
            <w:left w:w="108" w:type="dxa"/>
            <w:bottom w:w="0" w:type="dxa"/>
            <w:right w:w="108" w:type="dxa"/>
          </w:tblCellMar>
        </w:tblPrEx>
        <w:trPr>
          <w:trHeight w:val="48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27E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lang w:val="en-US" w:eastAsia="zh-CN"/>
                <w14:textFill>
                  <w14:solidFill>
                    <w14:schemeClr w14:val="tx1"/>
                  </w14:solidFill>
                </w14:textFill>
              </w:rPr>
              <w:t>1</w:t>
            </w: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144E">
            <w:pPr>
              <w:numPr>
                <w:ilvl w:val="0"/>
                <w:numId w:val="0"/>
              </w:numPr>
              <w:spacing w:line="360" w:lineRule="auto"/>
              <w:rPr>
                <w:rFonts w:hint="default" w:ascii="宋体" w:hAnsi="宋体"/>
                <w:szCs w:val="21"/>
                <w:lang w:val="en-US" w:eastAsia="zh-CN"/>
              </w:rPr>
            </w:pPr>
            <w:r>
              <w:rPr>
                <w:rFonts w:hint="eastAsia" w:ascii="宋体" w:hAnsi="宋体"/>
                <w:szCs w:val="21"/>
              </w:rPr>
              <w:t>按照国家及行业的有关规定及监管部门要求提供维保服务，严格执行血液净化标准操作规程（2021版）。</w:t>
            </w:r>
          </w:p>
        </w:tc>
        <w:tc>
          <w:tcPr>
            <w:tcW w:w="1050" w:type="dxa"/>
            <w:tcBorders>
              <w:top w:val="single" w:color="000000" w:sz="4" w:space="0"/>
              <w:left w:val="single" w:color="000000" w:sz="4" w:space="0"/>
              <w:bottom w:val="single" w:color="000000" w:sz="4" w:space="0"/>
              <w:right w:val="single" w:color="000000" w:sz="4" w:space="0"/>
            </w:tcBorders>
            <w:vAlign w:val="center"/>
          </w:tcPr>
          <w:p w14:paraId="31C849BC">
            <w:pPr>
              <w:widowControl/>
              <w:spacing w:line="300" w:lineRule="exact"/>
              <w:jc w:val="center"/>
              <w:textAlignment w:val="center"/>
              <w:rPr>
                <w:rFonts w:ascii="宋体" w:hAnsi="宋体" w:cs="宋体"/>
                <w:b/>
                <w:bCs/>
                <w:color w:val="000000" w:themeColor="text1"/>
                <w:kern w:val="0"/>
                <w:sz w:val="24"/>
                <w:szCs w:val="24"/>
                <w:lang w:bidi="ar"/>
                <w14:textFill>
                  <w14:solidFill>
                    <w14:schemeClr w14:val="tx1"/>
                  </w14:solidFill>
                </w14:textFill>
              </w:rPr>
            </w:pPr>
          </w:p>
        </w:tc>
        <w:tc>
          <w:tcPr>
            <w:tcW w:w="988" w:type="dxa"/>
            <w:tcBorders>
              <w:top w:val="single" w:color="000000" w:sz="4" w:space="0"/>
              <w:left w:val="single" w:color="000000" w:sz="4" w:space="0"/>
              <w:bottom w:val="single" w:color="000000" w:sz="4" w:space="0"/>
              <w:right w:val="single" w:color="000000" w:sz="4" w:space="0"/>
            </w:tcBorders>
            <w:vAlign w:val="center"/>
          </w:tcPr>
          <w:p w14:paraId="21ACD9AE">
            <w:pPr>
              <w:widowControl/>
              <w:spacing w:line="300" w:lineRule="exact"/>
              <w:jc w:val="center"/>
              <w:textAlignment w:val="center"/>
              <w:rPr>
                <w:rFonts w:ascii="宋体" w:hAnsi="宋体" w:cs="宋体"/>
                <w:b/>
                <w:bCs/>
                <w:color w:val="000000" w:themeColor="text1"/>
                <w:kern w:val="0"/>
                <w:sz w:val="24"/>
                <w:szCs w:val="24"/>
                <w:lang w:bidi="ar"/>
                <w14:textFill>
                  <w14:solidFill>
                    <w14:schemeClr w14:val="tx1"/>
                  </w14:solidFill>
                </w14:textFill>
              </w:rPr>
            </w:pPr>
          </w:p>
        </w:tc>
      </w:tr>
      <w:tr w14:paraId="2B74B8C1">
        <w:tblPrEx>
          <w:tblCellMar>
            <w:top w:w="0" w:type="dxa"/>
            <w:left w:w="108" w:type="dxa"/>
            <w:bottom w:w="0" w:type="dxa"/>
            <w:right w:w="108" w:type="dxa"/>
          </w:tblCellMar>
        </w:tblPrEx>
        <w:trPr>
          <w:trHeight w:val="455" w:hRule="atLeast"/>
        </w:trPr>
        <w:tc>
          <w:tcPr>
            <w:tcW w:w="1221" w:type="dxa"/>
            <w:tcBorders>
              <w:top w:val="single" w:color="auto" w:sz="4" w:space="0"/>
              <w:left w:val="single" w:color="auto" w:sz="4" w:space="0"/>
              <w:bottom w:val="single" w:color="auto" w:sz="4" w:space="0"/>
              <w:right w:val="single" w:color="auto" w:sz="4" w:space="0"/>
            </w:tcBorders>
            <w:vAlign w:val="center"/>
          </w:tcPr>
          <w:p w14:paraId="588F2FBE">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6180" w:type="dxa"/>
            <w:tcBorders>
              <w:top w:val="single" w:color="auto" w:sz="4" w:space="0"/>
              <w:left w:val="single" w:color="auto" w:sz="4" w:space="0"/>
              <w:bottom w:val="single" w:color="auto" w:sz="4" w:space="0"/>
              <w:right w:val="single" w:color="auto" w:sz="4" w:space="0"/>
            </w:tcBorders>
            <w:vAlign w:val="center"/>
          </w:tcPr>
          <w:p w14:paraId="72CE8ABB">
            <w:pPr>
              <w:numPr>
                <w:ilvl w:val="0"/>
                <w:numId w:val="0"/>
              </w:numPr>
              <w:spacing w:line="360" w:lineRule="auto"/>
              <w:rPr>
                <w:rFonts w:hint="default" w:ascii="宋体" w:hAnsi="宋体"/>
                <w:szCs w:val="21"/>
                <w:lang w:val="en-US" w:eastAsia="zh-CN"/>
              </w:rPr>
            </w:pPr>
            <w:r>
              <w:rPr>
                <w:rFonts w:hint="eastAsia" w:ascii="宋体" w:hAnsi="宋体"/>
                <w:szCs w:val="21"/>
              </w:rPr>
              <w:t>成交供应商须提供以下但不仅限于下列所列服务：</w:t>
            </w:r>
          </w:p>
        </w:tc>
        <w:tc>
          <w:tcPr>
            <w:tcW w:w="1050" w:type="dxa"/>
            <w:tcBorders>
              <w:top w:val="single" w:color="auto" w:sz="4" w:space="0"/>
              <w:left w:val="single" w:color="auto" w:sz="4" w:space="0"/>
              <w:bottom w:val="single" w:color="auto" w:sz="4" w:space="0"/>
              <w:right w:val="single" w:color="auto" w:sz="4" w:space="0"/>
            </w:tcBorders>
            <w:vAlign w:val="top"/>
          </w:tcPr>
          <w:p w14:paraId="12648ABE">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5D800D5">
            <w:pPr>
              <w:spacing w:line="360" w:lineRule="auto"/>
              <w:rPr>
                <w:rFonts w:hint="eastAsia" w:ascii="宋体" w:hAnsi="宋体" w:eastAsia="宋体" w:cs="宋体"/>
                <w:sz w:val="24"/>
                <w:szCs w:val="24"/>
                <w:lang w:val="en-US" w:eastAsia="zh-CN"/>
              </w:rPr>
            </w:pPr>
          </w:p>
        </w:tc>
      </w:tr>
      <w:tr w14:paraId="18A1A6FE">
        <w:tblPrEx>
          <w:tblCellMar>
            <w:top w:w="0" w:type="dxa"/>
            <w:left w:w="108" w:type="dxa"/>
            <w:bottom w:w="0" w:type="dxa"/>
            <w:right w:w="108" w:type="dxa"/>
          </w:tblCellMar>
        </w:tblPrEx>
        <w:trPr>
          <w:trHeight w:val="361" w:hRule="atLeast"/>
        </w:trPr>
        <w:tc>
          <w:tcPr>
            <w:tcW w:w="1221" w:type="dxa"/>
            <w:tcBorders>
              <w:top w:val="single" w:color="auto" w:sz="4" w:space="0"/>
              <w:left w:val="single" w:color="auto" w:sz="4" w:space="0"/>
              <w:bottom w:val="single" w:color="auto" w:sz="4" w:space="0"/>
              <w:right w:val="single" w:color="auto" w:sz="4" w:space="0"/>
            </w:tcBorders>
            <w:vAlign w:val="center"/>
          </w:tcPr>
          <w:p w14:paraId="05F5A586">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2.1</w:t>
            </w:r>
          </w:p>
        </w:tc>
        <w:tc>
          <w:tcPr>
            <w:tcW w:w="6180" w:type="dxa"/>
            <w:tcBorders>
              <w:top w:val="single" w:color="auto" w:sz="4" w:space="0"/>
              <w:left w:val="single" w:color="auto" w:sz="4" w:space="0"/>
              <w:bottom w:val="single" w:color="auto" w:sz="4" w:space="0"/>
              <w:right w:val="single" w:color="auto" w:sz="4" w:space="0"/>
            </w:tcBorders>
            <w:vAlign w:val="center"/>
          </w:tcPr>
          <w:p w14:paraId="4461810F">
            <w:pPr>
              <w:numPr>
                <w:ilvl w:val="0"/>
                <w:numId w:val="0"/>
              </w:numPr>
              <w:spacing w:line="360" w:lineRule="auto"/>
              <w:rPr>
                <w:rFonts w:hint="eastAsia" w:ascii="宋体" w:hAnsi="宋体"/>
                <w:szCs w:val="21"/>
                <w:lang w:val="en-US" w:eastAsia="zh-CN"/>
              </w:rPr>
            </w:pPr>
            <w:r>
              <w:rPr>
                <w:rFonts w:hint="eastAsia" w:ascii="宋体" w:hAnsi="宋体"/>
                <w:szCs w:val="21"/>
              </w:rPr>
              <w:t>提供设备安全检查</w:t>
            </w:r>
            <w:r>
              <w:rPr>
                <w:rFonts w:hint="eastAsia" w:ascii="宋体" w:hAnsi="宋体"/>
                <w:szCs w:val="21"/>
                <w:lang w:eastAsia="zh-CN"/>
              </w:rPr>
              <w:t>、</w:t>
            </w:r>
            <w:r>
              <w:rPr>
                <w:rFonts w:hint="eastAsia" w:ascii="宋体" w:hAnsi="宋体"/>
                <w:szCs w:val="21"/>
                <w:lang w:val="en-US" w:eastAsia="zh-CN"/>
              </w:rPr>
              <w:t>维修</w:t>
            </w:r>
            <w:r>
              <w:rPr>
                <w:rFonts w:hint="eastAsia" w:ascii="宋体" w:hAnsi="宋体"/>
                <w:szCs w:val="21"/>
              </w:rPr>
              <w:t>。</w:t>
            </w:r>
          </w:p>
        </w:tc>
        <w:tc>
          <w:tcPr>
            <w:tcW w:w="1050" w:type="dxa"/>
            <w:tcBorders>
              <w:top w:val="single" w:color="auto" w:sz="4" w:space="0"/>
              <w:left w:val="single" w:color="auto" w:sz="4" w:space="0"/>
              <w:bottom w:val="single" w:color="auto" w:sz="4" w:space="0"/>
              <w:right w:val="single" w:color="auto" w:sz="4" w:space="0"/>
            </w:tcBorders>
            <w:vAlign w:val="top"/>
          </w:tcPr>
          <w:p w14:paraId="6ACF5C16">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EEC5D44">
            <w:pPr>
              <w:spacing w:line="360" w:lineRule="auto"/>
              <w:rPr>
                <w:rFonts w:hint="eastAsia" w:ascii="宋体" w:hAnsi="宋体" w:eastAsia="宋体" w:cs="宋体"/>
                <w:sz w:val="24"/>
                <w:szCs w:val="24"/>
                <w:lang w:val="en-US" w:eastAsia="zh-CN"/>
              </w:rPr>
            </w:pPr>
          </w:p>
        </w:tc>
      </w:tr>
      <w:tr w14:paraId="5C5176C0">
        <w:tblPrEx>
          <w:tblCellMar>
            <w:top w:w="0" w:type="dxa"/>
            <w:left w:w="108" w:type="dxa"/>
            <w:bottom w:w="0" w:type="dxa"/>
            <w:right w:w="108" w:type="dxa"/>
          </w:tblCellMar>
        </w:tblPrEx>
        <w:trPr>
          <w:trHeight w:val="368" w:hRule="atLeast"/>
        </w:trPr>
        <w:tc>
          <w:tcPr>
            <w:tcW w:w="1221" w:type="dxa"/>
            <w:tcBorders>
              <w:top w:val="single" w:color="auto" w:sz="4" w:space="0"/>
              <w:left w:val="single" w:color="auto" w:sz="4" w:space="0"/>
              <w:bottom w:val="single" w:color="auto" w:sz="4" w:space="0"/>
              <w:right w:val="single" w:color="auto" w:sz="4" w:space="0"/>
            </w:tcBorders>
            <w:vAlign w:val="center"/>
          </w:tcPr>
          <w:p w14:paraId="485158C0">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2.2</w:t>
            </w:r>
          </w:p>
        </w:tc>
        <w:tc>
          <w:tcPr>
            <w:tcW w:w="6180" w:type="dxa"/>
            <w:tcBorders>
              <w:top w:val="single" w:color="auto" w:sz="4" w:space="0"/>
              <w:left w:val="single" w:color="auto" w:sz="4" w:space="0"/>
              <w:bottom w:val="single" w:color="auto" w:sz="4" w:space="0"/>
              <w:right w:val="single" w:color="auto" w:sz="4" w:space="0"/>
            </w:tcBorders>
            <w:vAlign w:val="center"/>
          </w:tcPr>
          <w:p w14:paraId="1E5E4EDE">
            <w:pPr>
              <w:numPr>
                <w:ilvl w:val="0"/>
                <w:numId w:val="0"/>
              </w:numPr>
              <w:spacing w:line="360" w:lineRule="auto"/>
              <w:rPr>
                <w:rFonts w:hint="default" w:ascii="宋体" w:hAnsi="宋体"/>
                <w:szCs w:val="21"/>
                <w:lang w:val="en-US" w:eastAsia="zh-CN"/>
              </w:rPr>
            </w:pPr>
            <w:r>
              <w:rPr>
                <w:rFonts w:hint="eastAsia" w:ascii="宋体" w:hAnsi="宋体"/>
                <w:szCs w:val="21"/>
              </w:rPr>
              <w:t>提供维保设备质量、运行状态检查等服务。</w:t>
            </w:r>
          </w:p>
        </w:tc>
        <w:tc>
          <w:tcPr>
            <w:tcW w:w="1050" w:type="dxa"/>
            <w:tcBorders>
              <w:top w:val="single" w:color="auto" w:sz="4" w:space="0"/>
              <w:left w:val="single" w:color="auto" w:sz="4" w:space="0"/>
              <w:bottom w:val="single" w:color="auto" w:sz="4" w:space="0"/>
              <w:right w:val="single" w:color="auto" w:sz="4" w:space="0"/>
            </w:tcBorders>
            <w:vAlign w:val="top"/>
          </w:tcPr>
          <w:p w14:paraId="1FCDC894">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7A78958">
            <w:pPr>
              <w:spacing w:line="360" w:lineRule="auto"/>
              <w:rPr>
                <w:rFonts w:hint="eastAsia" w:ascii="宋体" w:hAnsi="宋体" w:eastAsia="宋体" w:cs="宋体"/>
                <w:sz w:val="24"/>
                <w:szCs w:val="24"/>
                <w:lang w:val="en-US" w:eastAsia="zh-CN"/>
              </w:rPr>
            </w:pPr>
          </w:p>
        </w:tc>
      </w:tr>
      <w:tr w14:paraId="7D6B8E6D">
        <w:tblPrEx>
          <w:tblCellMar>
            <w:top w:w="0" w:type="dxa"/>
            <w:left w:w="108" w:type="dxa"/>
            <w:bottom w:w="0" w:type="dxa"/>
            <w:right w:w="108" w:type="dxa"/>
          </w:tblCellMar>
        </w:tblPrEx>
        <w:trPr>
          <w:trHeight w:val="435" w:hRule="atLeast"/>
        </w:trPr>
        <w:tc>
          <w:tcPr>
            <w:tcW w:w="1221" w:type="dxa"/>
            <w:tcBorders>
              <w:top w:val="single" w:color="auto" w:sz="4" w:space="0"/>
              <w:left w:val="single" w:color="auto" w:sz="4" w:space="0"/>
              <w:bottom w:val="single" w:color="auto" w:sz="4" w:space="0"/>
              <w:right w:val="single" w:color="auto" w:sz="4" w:space="0"/>
            </w:tcBorders>
            <w:vAlign w:val="center"/>
          </w:tcPr>
          <w:p w14:paraId="4B996FE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2.3</w:t>
            </w:r>
          </w:p>
        </w:tc>
        <w:tc>
          <w:tcPr>
            <w:tcW w:w="6180" w:type="dxa"/>
            <w:tcBorders>
              <w:top w:val="single" w:color="auto" w:sz="4" w:space="0"/>
              <w:left w:val="single" w:color="auto" w:sz="4" w:space="0"/>
              <w:bottom w:val="single" w:color="auto" w:sz="4" w:space="0"/>
              <w:right w:val="single" w:color="auto" w:sz="4" w:space="0"/>
            </w:tcBorders>
            <w:vAlign w:val="center"/>
          </w:tcPr>
          <w:p w14:paraId="0DABA1B2">
            <w:pPr>
              <w:numPr>
                <w:ilvl w:val="0"/>
                <w:numId w:val="0"/>
              </w:numPr>
              <w:spacing w:line="360" w:lineRule="auto"/>
              <w:rPr>
                <w:rFonts w:hint="eastAsia" w:ascii="宋体" w:hAnsi="宋体"/>
                <w:szCs w:val="21"/>
                <w:lang w:val="en-US" w:eastAsia="zh-CN"/>
              </w:rPr>
            </w:pPr>
            <w:r>
              <w:rPr>
                <w:rFonts w:hint="eastAsia" w:ascii="宋体" w:hAnsi="宋体"/>
                <w:szCs w:val="21"/>
              </w:rPr>
              <w:t>提供维保设备保养及维护保养报告。</w:t>
            </w:r>
          </w:p>
        </w:tc>
        <w:tc>
          <w:tcPr>
            <w:tcW w:w="1050" w:type="dxa"/>
            <w:tcBorders>
              <w:top w:val="single" w:color="auto" w:sz="4" w:space="0"/>
              <w:left w:val="single" w:color="auto" w:sz="4" w:space="0"/>
              <w:bottom w:val="single" w:color="auto" w:sz="4" w:space="0"/>
              <w:right w:val="single" w:color="auto" w:sz="4" w:space="0"/>
            </w:tcBorders>
            <w:vAlign w:val="top"/>
          </w:tcPr>
          <w:p w14:paraId="360C6459">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4BC629C">
            <w:pPr>
              <w:spacing w:line="360" w:lineRule="auto"/>
              <w:rPr>
                <w:rFonts w:hint="eastAsia" w:ascii="宋体" w:hAnsi="宋体" w:eastAsia="宋体" w:cs="宋体"/>
                <w:sz w:val="24"/>
                <w:szCs w:val="24"/>
                <w:lang w:val="en-US" w:eastAsia="zh-CN"/>
              </w:rPr>
            </w:pPr>
          </w:p>
        </w:tc>
      </w:tr>
      <w:tr w14:paraId="2CBBD67F">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0C682D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6180" w:type="dxa"/>
            <w:tcBorders>
              <w:top w:val="single" w:color="auto" w:sz="4" w:space="0"/>
              <w:left w:val="single" w:color="auto" w:sz="4" w:space="0"/>
              <w:bottom w:val="single" w:color="auto" w:sz="4" w:space="0"/>
              <w:right w:val="single" w:color="auto" w:sz="4" w:space="0"/>
            </w:tcBorders>
            <w:vAlign w:val="center"/>
          </w:tcPr>
          <w:p w14:paraId="5A494450">
            <w:pPr>
              <w:numPr>
                <w:ilvl w:val="0"/>
                <w:numId w:val="0"/>
              </w:numPr>
              <w:spacing w:line="360" w:lineRule="auto"/>
              <w:rPr>
                <w:rFonts w:hint="eastAsia" w:ascii="宋体" w:hAnsi="宋体"/>
                <w:szCs w:val="21"/>
                <w:lang w:val="en-US" w:eastAsia="zh-CN"/>
              </w:rPr>
            </w:pPr>
            <w:r>
              <w:rPr>
                <w:rFonts w:hint="eastAsia" w:ascii="宋体" w:hAnsi="宋体"/>
                <w:szCs w:val="21"/>
              </w:rPr>
              <w:t>预防性保养：</w:t>
            </w:r>
          </w:p>
        </w:tc>
        <w:tc>
          <w:tcPr>
            <w:tcW w:w="1050" w:type="dxa"/>
            <w:tcBorders>
              <w:top w:val="single" w:color="auto" w:sz="4" w:space="0"/>
              <w:left w:val="single" w:color="auto" w:sz="4" w:space="0"/>
              <w:bottom w:val="single" w:color="auto" w:sz="4" w:space="0"/>
              <w:right w:val="single" w:color="auto" w:sz="4" w:space="0"/>
            </w:tcBorders>
            <w:vAlign w:val="top"/>
          </w:tcPr>
          <w:p w14:paraId="198F6BE3">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C5536AC">
            <w:pPr>
              <w:spacing w:line="360" w:lineRule="auto"/>
              <w:rPr>
                <w:rFonts w:hint="eastAsia" w:ascii="宋体" w:hAnsi="宋体" w:eastAsia="宋体" w:cs="宋体"/>
                <w:sz w:val="24"/>
                <w:szCs w:val="24"/>
                <w:lang w:val="en-US" w:eastAsia="zh-CN"/>
              </w:rPr>
            </w:pPr>
          </w:p>
        </w:tc>
      </w:tr>
      <w:tr w14:paraId="29ACE95B">
        <w:tblPrEx>
          <w:tblCellMar>
            <w:top w:w="0" w:type="dxa"/>
            <w:left w:w="108" w:type="dxa"/>
            <w:bottom w:w="0" w:type="dxa"/>
            <w:right w:w="108" w:type="dxa"/>
          </w:tblCellMar>
        </w:tblPrEx>
        <w:trPr>
          <w:trHeight w:val="720" w:hRule="atLeast"/>
        </w:trPr>
        <w:tc>
          <w:tcPr>
            <w:tcW w:w="1221" w:type="dxa"/>
            <w:tcBorders>
              <w:top w:val="single" w:color="auto" w:sz="4" w:space="0"/>
              <w:left w:val="single" w:color="auto" w:sz="4" w:space="0"/>
              <w:bottom w:val="single" w:color="auto" w:sz="4" w:space="0"/>
              <w:right w:val="single" w:color="auto" w:sz="4" w:space="0"/>
            </w:tcBorders>
            <w:vAlign w:val="center"/>
          </w:tcPr>
          <w:p w14:paraId="07668F9D">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3.1</w:t>
            </w:r>
          </w:p>
        </w:tc>
        <w:tc>
          <w:tcPr>
            <w:tcW w:w="6180" w:type="dxa"/>
            <w:tcBorders>
              <w:top w:val="single" w:color="auto" w:sz="4" w:space="0"/>
              <w:left w:val="single" w:color="auto" w:sz="4" w:space="0"/>
              <w:bottom w:val="single" w:color="auto" w:sz="4" w:space="0"/>
              <w:right w:val="single" w:color="auto" w:sz="4" w:space="0"/>
            </w:tcBorders>
            <w:vAlign w:val="center"/>
          </w:tcPr>
          <w:p w14:paraId="4D2B01C3">
            <w:pPr>
              <w:numPr>
                <w:ilvl w:val="0"/>
                <w:numId w:val="0"/>
              </w:numPr>
              <w:spacing w:line="360" w:lineRule="auto"/>
              <w:rPr>
                <w:rFonts w:hint="eastAsia" w:ascii="宋体" w:hAnsi="宋体"/>
                <w:szCs w:val="21"/>
                <w:lang w:val="en-US" w:eastAsia="zh-CN"/>
              </w:rPr>
            </w:pPr>
            <w:r>
              <w:rPr>
                <w:rFonts w:hint="eastAsia" w:ascii="宋体" w:hAnsi="宋体"/>
                <w:szCs w:val="21"/>
              </w:rPr>
              <w:t>按照</w:t>
            </w:r>
            <w:r>
              <w:rPr>
                <w:rFonts w:hint="eastAsia" w:ascii="宋体" w:hAnsi="宋体"/>
                <w:szCs w:val="21"/>
                <w:lang w:eastAsia="zh-CN"/>
              </w:rPr>
              <w:t>生产厂家标准，维保</w:t>
            </w:r>
            <w:r>
              <w:rPr>
                <w:rFonts w:hint="eastAsia" w:ascii="宋体" w:hAnsi="宋体"/>
                <w:szCs w:val="21"/>
                <w:lang w:val="en-US" w:eastAsia="zh-CN"/>
              </w:rPr>
              <w:t>血透、血滤</w:t>
            </w:r>
            <w:r>
              <w:rPr>
                <w:rFonts w:hint="eastAsia" w:ascii="宋体" w:hAnsi="宋体"/>
                <w:szCs w:val="21"/>
                <w:lang w:eastAsia="zh-CN"/>
              </w:rPr>
              <w:t>机每</w:t>
            </w:r>
            <w:r>
              <w:rPr>
                <w:rFonts w:hint="eastAsia" w:ascii="宋体" w:hAnsi="宋体"/>
                <w:szCs w:val="21"/>
              </w:rPr>
              <w:t>月</w:t>
            </w:r>
            <w:r>
              <w:rPr>
                <w:rFonts w:hint="eastAsia" w:ascii="宋体" w:hAnsi="宋体"/>
                <w:szCs w:val="21"/>
                <w:lang w:eastAsia="zh-CN"/>
              </w:rPr>
              <w:t>进行</w:t>
            </w:r>
            <w:r>
              <w:rPr>
                <w:rFonts w:hint="eastAsia" w:ascii="宋体" w:hAnsi="宋体"/>
                <w:szCs w:val="21"/>
              </w:rPr>
              <w:t>1次的</w:t>
            </w:r>
            <w:r>
              <w:rPr>
                <w:rFonts w:hint="eastAsia" w:ascii="宋体" w:hAnsi="宋体"/>
                <w:szCs w:val="21"/>
                <w:lang w:eastAsia="zh-CN"/>
              </w:rPr>
              <w:t>调校，</w:t>
            </w:r>
            <w:r>
              <w:rPr>
                <w:rFonts w:hint="eastAsia" w:ascii="宋体" w:hAnsi="宋体"/>
                <w:szCs w:val="21"/>
              </w:rPr>
              <w:t>以保证设备处于最佳运行状态</w:t>
            </w:r>
            <w:r>
              <w:rPr>
                <w:rFonts w:hint="eastAsia" w:ascii="宋体" w:hAnsi="宋体"/>
                <w:szCs w:val="21"/>
                <w:lang w:eastAsia="zh-CN"/>
              </w:rPr>
              <w:t>，并做好维护记录</w:t>
            </w:r>
            <w:r>
              <w:rPr>
                <w:rFonts w:hint="eastAsia" w:ascii="宋体" w:hAnsi="宋体"/>
                <w:szCs w:val="21"/>
              </w:rPr>
              <w:t>。</w:t>
            </w:r>
          </w:p>
        </w:tc>
        <w:tc>
          <w:tcPr>
            <w:tcW w:w="1050" w:type="dxa"/>
            <w:tcBorders>
              <w:top w:val="single" w:color="auto" w:sz="4" w:space="0"/>
              <w:left w:val="single" w:color="auto" w:sz="4" w:space="0"/>
              <w:bottom w:val="single" w:color="auto" w:sz="4" w:space="0"/>
              <w:right w:val="single" w:color="auto" w:sz="4" w:space="0"/>
            </w:tcBorders>
            <w:vAlign w:val="top"/>
          </w:tcPr>
          <w:p w14:paraId="696B1D2E">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409E1CA">
            <w:pPr>
              <w:spacing w:line="360" w:lineRule="auto"/>
              <w:rPr>
                <w:rFonts w:hint="eastAsia" w:ascii="宋体" w:hAnsi="宋体" w:eastAsia="宋体" w:cs="宋体"/>
                <w:sz w:val="24"/>
                <w:szCs w:val="24"/>
                <w:lang w:val="en-US" w:eastAsia="zh-CN"/>
              </w:rPr>
            </w:pPr>
          </w:p>
        </w:tc>
      </w:tr>
      <w:tr w14:paraId="0F319914">
        <w:tblPrEx>
          <w:tblCellMar>
            <w:top w:w="0" w:type="dxa"/>
            <w:left w:w="108" w:type="dxa"/>
            <w:bottom w:w="0" w:type="dxa"/>
            <w:right w:w="108" w:type="dxa"/>
          </w:tblCellMar>
        </w:tblPrEx>
        <w:trPr>
          <w:trHeight w:val="406" w:hRule="atLeast"/>
        </w:trPr>
        <w:tc>
          <w:tcPr>
            <w:tcW w:w="1221" w:type="dxa"/>
            <w:tcBorders>
              <w:top w:val="single" w:color="auto" w:sz="4" w:space="0"/>
              <w:left w:val="single" w:color="auto" w:sz="4" w:space="0"/>
              <w:bottom w:val="single" w:color="auto" w:sz="4" w:space="0"/>
              <w:right w:val="single" w:color="auto" w:sz="4" w:space="0"/>
            </w:tcBorders>
            <w:vAlign w:val="center"/>
          </w:tcPr>
          <w:p w14:paraId="4CFB74BE">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3.2</w:t>
            </w:r>
          </w:p>
        </w:tc>
        <w:tc>
          <w:tcPr>
            <w:tcW w:w="6180" w:type="dxa"/>
            <w:tcBorders>
              <w:top w:val="single" w:color="auto" w:sz="4" w:space="0"/>
              <w:left w:val="single" w:color="auto" w:sz="4" w:space="0"/>
              <w:bottom w:val="single" w:color="auto" w:sz="4" w:space="0"/>
              <w:right w:val="single" w:color="auto" w:sz="4" w:space="0"/>
            </w:tcBorders>
            <w:vAlign w:val="center"/>
          </w:tcPr>
          <w:p w14:paraId="36A69E2E">
            <w:pPr>
              <w:numPr>
                <w:ilvl w:val="0"/>
                <w:numId w:val="0"/>
              </w:numPr>
              <w:spacing w:line="360" w:lineRule="auto"/>
              <w:rPr>
                <w:rFonts w:hint="eastAsia" w:ascii="宋体" w:hAnsi="宋体"/>
                <w:szCs w:val="21"/>
                <w:lang w:val="en-US" w:eastAsia="zh-CN"/>
              </w:rPr>
            </w:pPr>
            <w:r>
              <w:rPr>
                <w:rFonts w:hint="eastAsia" w:ascii="宋体" w:hAnsi="宋体"/>
                <w:szCs w:val="21"/>
                <w:lang w:eastAsia="zh-CN"/>
              </w:rPr>
              <w:t>每</w:t>
            </w:r>
            <w:r>
              <w:rPr>
                <w:rFonts w:hint="eastAsia" w:ascii="宋体" w:hAnsi="宋体"/>
                <w:szCs w:val="21"/>
                <w:lang w:val="en-US" w:eastAsia="zh-CN"/>
              </w:rPr>
              <w:t>季度</w:t>
            </w:r>
            <w:r>
              <w:rPr>
                <w:rFonts w:hint="eastAsia" w:ascii="宋体" w:hAnsi="宋体"/>
                <w:szCs w:val="21"/>
                <w:lang w:eastAsia="zh-CN"/>
              </w:rPr>
              <w:t>至少</w:t>
            </w:r>
            <w:r>
              <w:rPr>
                <w:rFonts w:hint="eastAsia" w:ascii="宋体" w:hAnsi="宋体"/>
                <w:szCs w:val="21"/>
                <w:lang w:val="en-US" w:eastAsia="zh-CN"/>
              </w:rPr>
              <w:t>1次全面技术维护，</w:t>
            </w:r>
            <w:r>
              <w:rPr>
                <w:rFonts w:hint="eastAsia" w:ascii="宋体" w:hAnsi="宋体"/>
                <w:szCs w:val="21"/>
              </w:rPr>
              <w:t>最后一次设备全面技术维护需在维保期结束前</w:t>
            </w:r>
            <w:r>
              <w:rPr>
                <w:rFonts w:hint="eastAsia" w:ascii="宋体" w:hAnsi="宋体"/>
                <w:szCs w:val="21"/>
                <w:lang w:val="en-US" w:eastAsia="zh-CN"/>
              </w:rPr>
              <w:t>2</w:t>
            </w:r>
            <w:r>
              <w:rPr>
                <w:rFonts w:hint="eastAsia" w:ascii="宋体" w:hAnsi="宋体"/>
                <w:szCs w:val="21"/>
              </w:rPr>
              <w:t>周内进行，并提供设备维护保养、设备状态评估报告。</w:t>
            </w:r>
          </w:p>
        </w:tc>
        <w:tc>
          <w:tcPr>
            <w:tcW w:w="1050" w:type="dxa"/>
            <w:tcBorders>
              <w:top w:val="single" w:color="auto" w:sz="4" w:space="0"/>
              <w:left w:val="single" w:color="auto" w:sz="4" w:space="0"/>
              <w:bottom w:val="single" w:color="auto" w:sz="4" w:space="0"/>
              <w:right w:val="single" w:color="auto" w:sz="4" w:space="0"/>
            </w:tcBorders>
            <w:vAlign w:val="top"/>
          </w:tcPr>
          <w:p w14:paraId="07584D2A">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18093CB">
            <w:pPr>
              <w:spacing w:line="360" w:lineRule="auto"/>
              <w:rPr>
                <w:rFonts w:hint="eastAsia" w:ascii="宋体" w:hAnsi="宋体" w:eastAsia="宋体" w:cs="宋体"/>
                <w:sz w:val="24"/>
                <w:szCs w:val="24"/>
                <w:lang w:val="en-US" w:eastAsia="zh-CN"/>
              </w:rPr>
            </w:pPr>
          </w:p>
        </w:tc>
      </w:tr>
      <w:tr w14:paraId="68E2A3B9">
        <w:tblPrEx>
          <w:tblCellMar>
            <w:top w:w="0" w:type="dxa"/>
            <w:left w:w="108" w:type="dxa"/>
            <w:bottom w:w="0" w:type="dxa"/>
            <w:right w:w="108" w:type="dxa"/>
          </w:tblCellMar>
        </w:tblPrEx>
        <w:trPr>
          <w:trHeight w:val="90" w:hRule="atLeast"/>
        </w:trPr>
        <w:tc>
          <w:tcPr>
            <w:tcW w:w="1221" w:type="dxa"/>
            <w:tcBorders>
              <w:top w:val="single" w:color="auto" w:sz="4" w:space="0"/>
              <w:left w:val="single" w:color="auto" w:sz="4" w:space="0"/>
              <w:bottom w:val="single" w:color="auto" w:sz="4" w:space="0"/>
              <w:right w:val="single" w:color="auto" w:sz="4" w:space="0"/>
            </w:tcBorders>
            <w:vAlign w:val="center"/>
          </w:tcPr>
          <w:p w14:paraId="5E1A4989">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6180" w:type="dxa"/>
            <w:tcBorders>
              <w:top w:val="single" w:color="auto" w:sz="4" w:space="0"/>
              <w:left w:val="single" w:color="auto" w:sz="4" w:space="0"/>
              <w:bottom w:val="single" w:color="auto" w:sz="4" w:space="0"/>
              <w:right w:val="single" w:color="auto" w:sz="4" w:space="0"/>
            </w:tcBorders>
            <w:vAlign w:val="center"/>
          </w:tcPr>
          <w:p w14:paraId="39D5C3E7">
            <w:pPr>
              <w:numPr>
                <w:ilvl w:val="0"/>
                <w:numId w:val="0"/>
              </w:numPr>
              <w:spacing w:line="360" w:lineRule="auto"/>
              <w:rPr>
                <w:rFonts w:hint="default" w:ascii="宋体" w:hAnsi="宋体"/>
                <w:szCs w:val="21"/>
                <w:lang w:val="en-US" w:eastAsia="zh-CN"/>
              </w:rPr>
            </w:pPr>
            <w:r>
              <w:rPr>
                <w:rFonts w:hint="eastAsia" w:ascii="宋体" w:hAnsi="宋体"/>
                <w:szCs w:val="21"/>
              </w:rPr>
              <w:t>维保期内</w:t>
            </w:r>
            <w:r>
              <w:rPr>
                <w:rFonts w:hint="eastAsia" w:ascii="宋体" w:hAnsi="宋体"/>
                <w:szCs w:val="21"/>
                <w:lang w:eastAsia="zh-CN"/>
              </w:rPr>
              <w:t>提供免费</w:t>
            </w:r>
            <w:r>
              <w:rPr>
                <w:rFonts w:hint="eastAsia" w:ascii="宋体" w:hAnsi="宋体"/>
                <w:szCs w:val="21"/>
              </w:rPr>
              <w:t>维修</w:t>
            </w:r>
            <w:r>
              <w:rPr>
                <w:rFonts w:hint="eastAsia" w:ascii="宋体" w:hAnsi="宋体"/>
                <w:szCs w:val="21"/>
                <w:lang w:eastAsia="zh-CN"/>
              </w:rPr>
              <w:t>、</w:t>
            </w:r>
            <w:r>
              <w:rPr>
                <w:rFonts w:hint="eastAsia" w:ascii="宋体" w:hAnsi="宋体"/>
                <w:szCs w:val="21"/>
              </w:rPr>
              <w:t>零配件更换和维修劳务</w:t>
            </w:r>
            <w:r>
              <w:rPr>
                <w:rFonts w:hint="eastAsia" w:ascii="宋体" w:hAnsi="宋体"/>
                <w:szCs w:val="21"/>
                <w:lang w:eastAsia="zh-CN"/>
              </w:rPr>
              <w:t>等</w:t>
            </w:r>
            <w:r>
              <w:rPr>
                <w:rFonts w:hint="eastAsia" w:ascii="宋体" w:hAnsi="宋体"/>
                <w:szCs w:val="21"/>
              </w:rPr>
              <w:t>各</w:t>
            </w:r>
            <w:r>
              <w:rPr>
                <w:rFonts w:hint="eastAsia" w:ascii="宋体" w:hAnsi="宋体"/>
                <w:szCs w:val="21"/>
                <w:lang w:eastAsia="zh-CN"/>
              </w:rPr>
              <w:t>项</w:t>
            </w:r>
            <w:r>
              <w:rPr>
                <w:rFonts w:hint="eastAsia" w:ascii="宋体" w:hAnsi="宋体"/>
                <w:szCs w:val="21"/>
              </w:rPr>
              <w:t>服务，保证设备</w:t>
            </w:r>
            <w:r>
              <w:rPr>
                <w:rFonts w:hint="eastAsia" w:ascii="宋体" w:hAnsi="宋体"/>
                <w:szCs w:val="21"/>
                <w:lang w:eastAsia="zh-CN"/>
              </w:rPr>
              <w:t>正常使用</w:t>
            </w:r>
            <w:r>
              <w:rPr>
                <w:rFonts w:hint="eastAsia" w:ascii="宋体" w:hAnsi="宋体"/>
                <w:szCs w:val="21"/>
              </w:rPr>
              <w:t>。除细菌过滤器、消毒液、备用电池、A、B液、干粉、透析器、透析器管路、细菌过滤器、注射器等外</w:t>
            </w:r>
            <w:r>
              <w:rPr>
                <w:rFonts w:hint="eastAsia" w:ascii="宋体" w:hAnsi="宋体"/>
                <w:szCs w:val="21"/>
                <w:lang w:eastAsia="zh-CN"/>
              </w:rPr>
              <w:t>，</w:t>
            </w:r>
            <w:r>
              <w:rPr>
                <w:rFonts w:hint="eastAsia" w:ascii="宋体" w:hAnsi="宋体"/>
                <w:szCs w:val="21"/>
              </w:rPr>
              <w:t>其他所有</w:t>
            </w:r>
            <w:r>
              <w:rPr>
                <w:rFonts w:hint="eastAsia" w:ascii="宋体" w:hAnsi="宋体"/>
                <w:szCs w:val="21"/>
                <w:lang w:val="en-US" w:eastAsia="zh-CN"/>
              </w:rPr>
              <w:t>备件需为</w:t>
            </w:r>
            <w:r>
              <w:rPr>
                <w:rFonts w:hint="eastAsia" w:ascii="宋体" w:hAnsi="宋体"/>
                <w:szCs w:val="21"/>
              </w:rPr>
              <w:t>全新原厂备件，保证设备达到符合设备生产厂家合格标准或相应的国家质量标准的要求。在保修服务期内提供技术电话支持，提供在线和现场临床技术支持服务。</w:t>
            </w:r>
          </w:p>
        </w:tc>
        <w:tc>
          <w:tcPr>
            <w:tcW w:w="1050" w:type="dxa"/>
            <w:tcBorders>
              <w:top w:val="single" w:color="auto" w:sz="4" w:space="0"/>
              <w:left w:val="single" w:color="auto" w:sz="4" w:space="0"/>
              <w:bottom w:val="single" w:color="auto" w:sz="4" w:space="0"/>
              <w:right w:val="single" w:color="auto" w:sz="4" w:space="0"/>
            </w:tcBorders>
            <w:vAlign w:val="top"/>
          </w:tcPr>
          <w:p w14:paraId="645F66B7">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143749AA">
            <w:pPr>
              <w:spacing w:line="360" w:lineRule="auto"/>
              <w:rPr>
                <w:rFonts w:hint="eastAsia" w:ascii="宋体" w:hAnsi="宋体" w:eastAsia="宋体" w:cs="宋体"/>
                <w:sz w:val="24"/>
                <w:szCs w:val="24"/>
                <w:lang w:val="en-US" w:eastAsia="zh-CN"/>
              </w:rPr>
            </w:pPr>
          </w:p>
        </w:tc>
      </w:tr>
      <w:tr w14:paraId="450F397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03B72AC3">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c>
          <w:tcPr>
            <w:tcW w:w="6180" w:type="dxa"/>
            <w:tcBorders>
              <w:top w:val="single" w:color="auto" w:sz="4" w:space="0"/>
              <w:left w:val="single" w:color="auto" w:sz="4" w:space="0"/>
              <w:bottom w:val="single" w:color="auto" w:sz="4" w:space="0"/>
              <w:right w:val="single" w:color="auto" w:sz="4" w:space="0"/>
            </w:tcBorders>
            <w:vAlign w:val="center"/>
          </w:tcPr>
          <w:p w14:paraId="71B25BDC">
            <w:pPr>
              <w:numPr>
                <w:ilvl w:val="0"/>
                <w:numId w:val="0"/>
              </w:numPr>
              <w:spacing w:line="360" w:lineRule="auto"/>
              <w:rPr>
                <w:rFonts w:hint="eastAsia" w:ascii="宋体" w:hAnsi="宋体"/>
                <w:szCs w:val="21"/>
                <w:lang w:val="en-US" w:eastAsia="zh-CN"/>
              </w:rPr>
            </w:pPr>
            <w:r>
              <w:rPr>
                <w:rFonts w:hint="eastAsia" w:ascii="宋体" w:hAnsi="宋体"/>
                <w:szCs w:val="21"/>
              </w:rPr>
              <w:t>设备故障排除后，工作性能指标达到该设备生产厂家提供</w:t>
            </w:r>
            <w:r>
              <w:rPr>
                <w:rFonts w:hint="eastAsia" w:ascii="宋体" w:hAnsi="宋体"/>
                <w:szCs w:val="21"/>
                <w:lang w:eastAsia="zh-CN"/>
              </w:rPr>
              <w:t>的</w:t>
            </w:r>
            <w:r>
              <w:rPr>
                <w:rFonts w:hint="eastAsia" w:ascii="宋体" w:hAnsi="宋体"/>
                <w:szCs w:val="21"/>
              </w:rPr>
              <w:t>性能指标。</w:t>
            </w:r>
          </w:p>
        </w:tc>
        <w:tc>
          <w:tcPr>
            <w:tcW w:w="1050" w:type="dxa"/>
            <w:tcBorders>
              <w:top w:val="single" w:color="auto" w:sz="4" w:space="0"/>
              <w:left w:val="single" w:color="auto" w:sz="4" w:space="0"/>
              <w:bottom w:val="single" w:color="auto" w:sz="4" w:space="0"/>
              <w:right w:val="single" w:color="auto" w:sz="4" w:space="0"/>
            </w:tcBorders>
            <w:vAlign w:val="top"/>
          </w:tcPr>
          <w:p w14:paraId="3CDC9DA8">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DDC9467">
            <w:pPr>
              <w:spacing w:line="360" w:lineRule="auto"/>
              <w:rPr>
                <w:rFonts w:hint="eastAsia" w:ascii="宋体" w:hAnsi="宋体" w:eastAsia="宋体" w:cs="宋体"/>
                <w:sz w:val="24"/>
                <w:szCs w:val="24"/>
                <w:lang w:val="en-US" w:eastAsia="zh-CN"/>
              </w:rPr>
            </w:pPr>
          </w:p>
        </w:tc>
      </w:tr>
      <w:tr w14:paraId="5F848FA9">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418CC03">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w:t>
            </w:r>
          </w:p>
        </w:tc>
        <w:tc>
          <w:tcPr>
            <w:tcW w:w="6180" w:type="dxa"/>
            <w:tcBorders>
              <w:top w:val="single" w:color="auto" w:sz="4" w:space="0"/>
              <w:left w:val="single" w:color="auto" w:sz="4" w:space="0"/>
              <w:bottom w:val="single" w:color="auto" w:sz="4" w:space="0"/>
              <w:right w:val="single" w:color="auto" w:sz="4" w:space="0"/>
            </w:tcBorders>
            <w:vAlign w:val="center"/>
          </w:tcPr>
          <w:p w14:paraId="38F49DF2">
            <w:pPr>
              <w:numPr>
                <w:ilvl w:val="0"/>
                <w:numId w:val="0"/>
              </w:numPr>
              <w:spacing w:line="360" w:lineRule="auto"/>
              <w:rPr>
                <w:rFonts w:hint="default" w:ascii="宋体" w:hAnsi="宋体"/>
                <w:szCs w:val="21"/>
                <w:lang w:val="en-US" w:eastAsia="zh-CN"/>
              </w:rPr>
            </w:pPr>
            <w:r>
              <w:rPr>
                <w:rFonts w:hint="eastAsia" w:ascii="宋体" w:hAnsi="宋体"/>
                <w:szCs w:val="21"/>
              </w:rPr>
              <w:t>成交供应商全年</w:t>
            </w:r>
            <w:r>
              <w:rPr>
                <w:rFonts w:hint="eastAsia" w:ascii="宋体" w:hAnsi="宋体"/>
                <w:szCs w:val="21"/>
                <w:lang w:val="en-US" w:eastAsia="zh-CN"/>
              </w:rPr>
              <w:t>365天（</w:t>
            </w:r>
            <w:r>
              <w:rPr>
                <w:rFonts w:hint="eastAsia" w:ascii="宋体" w:hAnsi="宋体"/>
                <w:szCs w:val="21"/>
              </w:rPr>
              <w:t>含节假日</w:t>
            </w:r>
            <w:r>
              <w:rPr>
                <w:rFonts w:hint="eastAsia" w:ascii="宋体" w:hAnsi="宋体"/>
                <w:szCs w:val="21"/>
                <w:lang w:eastAsia="zh-CN"/>
              </w:rPr>
              <w:t>）</w:t>
            </w:r>
            <w:r>
              <w:rPr>
                <w:rFonts w:hint="eastAsia" w:ascii="宋体" w:hAnsi="宋体"/>
                <w:szCs w:val="21"/>
              </w:rPr>
              <w:t>提供维修服务</w:t>
            </w:r>
            <w:r>
              <w:rPr>
                <w:rFonts w:hint="eastAsia" w:ascii="宋体" w:hAnsi="宋体"/>
                <w:szCs w:val="21"/>
                <w:lang w:eastAsia="zh-CN"/>
              </w:rPr>
              <w:t>，</w:t>
            </w:r>
            <w:r>
              <w:rPr>
                <w:rFonts w:hint="eastAsia" w:ascii="宋体" w:hAnsi="宋体"/>
                <w:szCs w:val="21"/>
              </w:rPr>
              <w:t>以保证设备的正常</w:t>
            </w:r>
            <w:r>
              <w:rPr>
                <w:rFonts w:hint="eastAsia" w:ascii="宋体" w:hAnsi="宋体"/>
                <w:szCs w:val="21"/>
                <w:lang w:eastAsia="zh-CN"/>
              </w:rPr>
              <w:t>运行</w:t>
            </w:r>
            <w:r>
              <w:rPr>
                <w:rFonts w:hint="eastAsia" w:ascii="宋体" w:hAnsi="宋体"/>
                <w:szCs w:val="21"/>
              </w:rPr>
              <w:t>。</w:t>
            </w:r>
            <w:r>
              <w:rPr>
                <w:rFonts w:hint="eastAsia" w:ascii="宋体" w:hAnsi="宋体"/>
                <w:szCs w:val="21"/>
                <w:lang w:eastAsia="zh-CN"/>
              </w:rPr>
              <w:t>要求</w:t>
            </w:r>
            <w:r>
              <w:rPr>
                <w:rFonts w:hint="eastAsia" w:ascii="宋体" w:hAnsi="宋体"/>
                <w:szCs w:val="21"/>
              </w:rPr>
              <w:t>一般性故障维修须在2小时内完成，重大故障维修须在3个工作日内完成，不得以任何非不可抗力的理由拖延维修响应时间</w:t>
            </w:r>
            <w:r>
              <w:rPr>
                <w:rFonts w:hint="eastAsia" w:ascii="宋体" w:hAnsi="宋体"/>
                <w:szCs w:val="21"/>
                <w:lang w:eastAsia="zh-CN"/>
              </w:rPr>
              <w:t>，</w:t>
            </w:r>
            <w:r>
              <w:rPr>
                <w:rFonts w:hint="eastAsia" w:ascii="宋体" w:hAnsi="宋体"/>
                <w:szCs w:val="21"/>
              </w:rPr>
              <w:t>完成后提供设备检查和维修报告,如果故障3天没有修复，医院可以和第三方联系或请厂商直接维修，费用由成交供应商全部承担。</w:t>
            </w:r>
          </w:p>
        </w:tc>
        <w:tc>
          <w:tcPr>
            <w:tcW w:w="1050" w:type="dxa"/>
            <w:tcBorders>
              <w:top w:val="single" w:color="auto" w:sz="4" w:space="0"/>
              <w:left w:val="single" w:color="auto" w:sz="4" w:space="0"/>
              <w:bottom w:val="single" w:color="auto" w:sz="4" w:space="0"/>
              <w:right w:val="single" w:color="auto" w:sz="4" w:space="0"/>
            </w:tcBorders>
            <w:vAlign w:val="top"/>
          </w:tcPr>
          <w:p w14:paraId="4A22BE5B">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4C5AD60B">
            <w:pPr>
              <w:spacing w:line="360" w:lineRule="auto"/>
              <w:rPr>
                <w:rFonts w:hint="eastAsia" w:ascii="宋体" w:hAnsi="宋体" w:eastAsia="宋体" w:cs="宋体"/>
                <w:sz w:val="24"/>
                <w:szCs w:val="24"/>
                <w:lang w:val="en-US" w:eastAsia="zh-CN"/>
              </w:rPr>
            </w:pPr>
          </w:p>
        </w:tc>
      </w:tr>
      <w:tr w14:paraId="5F3390E7">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55173B7">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7</w:t>
            </w:r>
          </w:p>
        </w:tc>
        <w:tc>
          <w:tcPr>
            <w:tcW w:w="6180" w:type="dxa"/>
            <w:tcBorders>
              <w:top w:val="single" w:color="auto" w:sz="4" w:space="0"/>
              <w:left w:val="single" w:color="auto" w:sz="4" w:space="0"/>
              <w:bottom w:val="single" w:color="auto" w:sz="4" w:space="0"/>
              <w:right w:val="single" w:color="auto" w:sz="4" w:space="0"/>
            </w:tcBorders>
            <w:vAlign w:val="center"/>
          </w:tcPr>
          <w:p w14:paraId="5F19A768">
            <w:pPr>
              <w:numPr>
                <w:ilvl w:val="0"/>
                <w:numId w:val="0"/>
              </w:numPr>
              <w:spacing w:line="360" w:lineRule="auto"/>
              <w:rPr>
                <w:rFonts w:hint="eastAsia" w:ascii="宋体" w:hAnsi="宋体"/>
                <w:szCs w:val="21"/>
              </w:rPr>
            </w:pPr>
            <w:r>
              <w:rPr>
                <w:rFonts w:hint="eastAsia" w:ascii="宋体" w:hAnsi="宋体"/>
                <w:szCs w:val="21"/>
              </w:rPr>
              <w:t>项目设备前期损坏的配件，由成交供应商在</w:t>
            </w:r>
            <w:r>
              <w:rPr>
                <w:rFonts w:hint="eastAsia" w:ascii="宋体" w:hAnsi="宋体"/>
                <w:szCs w:val="21"/>
                <w:lang w:val="en-US" w:eastAsia="zh-CN"/>
              </w:rPr>
              <w:t>维保</w:t>
            </w:r>
            <w:r>
              <w:rPr>
                <w:rFonts w:hint="eastAsia" w:ascii="宋体" w:hAnsi="宋体"/>
                <w:szCs w:val="21"/>
              </w:rPr>
              <w:t>合同签订日起</w:t>
            </w:r>
            <w:r>
              <w:rPr>
                <w:rFonts w:hint="eastAsia" w:ascii="宋体" w:hAnsi="宋体"/>
                <w:szCs w:val="21"/>
                <w:lang w:val="en-US" w:eastAsia="zh-CN"/>
              </w:rPr>
              <w:t>1</w:t>
            </w:r>
            <w:r>
              <w:rPr>
                <w:rFonts w:hint="eastAsia" w:ascii="宋体" w:hAnsi="宋体"/>
                <w:szCs w:val="21"/>
              </w:rPr>
              <w:t>个月内</w:t>
            </w:r>
            <w:r>
              <w:rPr>
                <w:rFonts w:hint="eastAsia" w:ascii="宋体" w:hAnsi="宋体"/>
                <w:szCs w:val="21"/>
                <w:lang w:val="en-US" w:eastAsia="zh-CN"/>
              </w:rPr>
              <w:t>免费</w:t>
            </w:r>
            <w:r>
              <w:rPr>
                <w:rFonts w:hint="eastAsia" w:ascii="宋体" w:hAnsi="宋体"/>
                <w:szCs w:val="21"/>
              </w:rPr>
              <w:t>完成</w:t>
            </w:r>
            <w:bookmarkStart w:id="1" w:name="_GoBack"/>
            <w:bookmarkEnd w:id="1"/>
            <w:r>
              <w:rPr>
                <w:rFonts w:hint="eastAsia" w:ascii="宋体" w:hAnsi="宋体"/>
                <w:szCs w:val="21"/>
              </w:rPr>
              <w:t>更换并</w:t>
            </w:r>
            <w:r>
              <w:rPr>
                <w:rFonts w:hint="eastAsia" w:ascii="宋体" w:hAnsi="宋体"/>
                <w:szCs w:val="21"/>
                <w:lang w:val="en-US" w:eastAsia="zh-CN"/>
              </w:rPr>
              <w:t>使</w:t>
            </w:r>
            <w:r>
              <w:rPr>
                <w:rFonts w:hint="eastAsia" w:ascii="宋体" w:hAnsi="宋体"/>
                <w:szCs w:val="21"/>
              </w:rPr>
              <w:t>设备工作正常。</w:t>
            </w:r>
          </w:p>
        </w:tc>
        <w:tc>
          <w:tcPr>
            <w:tcW w:w="1050" w:type="dxa"/>
            <w:tcBorders>
              <w:top w:val="single" w:color="auto" w:sz="4" w:space="0"/>
              <w:left w:val="single" w:color="auto" w:sz="4" w:space="0"/>
              <w:bottom w:val="single" w:color="auto" w:sz="4" w:space="0"/>
              <w:right w:val="single" w:color="auto" w:sz="4" w:space="0"/>
            </w:tcBorders>
            <w:vAlign w:val="top"/>
          </w:tcPr>
          <w:p w14:paraId="162C0210">
            <w:pPr>
              <w:spacing w:line="360" w:lineRule="auto"/>
              <w:rPr>
                <w:rFonts w:hint="eastAsia" w:ascii="宋体" w:hAnsi="宋体" w:eastAsia="宋体" w:cs="宋体"/>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32DC8A0">
            <w:pPr>
              <w:spacing w:line="360" w:lineRule="auto"/>
              <w:rPr>
                <w:rFonts w:hint="eastAsia" w:ascii="宋体" w:hAnsi="宋体" w:eastAsia="宋体" w:cs="宋体"/>
                <w:sz w:val="24"/>
                <w:szCs w:val="24"/>
                <w:lang w:val="en-US" w:eastAsia="zh-CN"/>
              </w:rPr>
            </w:pPr>
          </w:p>
        </w:tc>
      </w:tr>
      <w:tr w14:paraId="673E4CB2">
        <w:tblPrEx>
          <w:tblCellMar>
            <w:top w:w="0" w:type="dxa"/>
            <w:left w:w="108" w:type="dxa"/>
            <w:bottom w:w="0" w:type="dxa"/>
            <w:right w:w="108" w:type="dxa"/>
          </w:tblCellMar>
        </w:tblPrEx>
        <w:trPr>
          <w:trHeight w:val="414" w:hRule="atLeast"/>
        </w:trPr>
        <w:tc>
          <w:tcPr>
            <w:tcW w:w="9439" w:type="dxa"/>
            <w:gridSpan w:val="4"/>
            <w:tcBorders>
              <w:top w:val="single" w:color="auto" w:sz="4" w:space="0"/>
              <w:left w:val="single" w:color="auto" w:sz="4" w:space="0"/>
              <w:bottom w:val="single" w:color="auto" w:sz="4" w:space="0"/>
              <w:right w:val="single" w:color="auto" w:sz="4" w:space="0"/>
            </w:tcBorders>
            <w:vAlign w:val="center"/>
          </w:tcPr>
          <w:p w14:paraId="4BFB369D">
            <w:pPr>
              <w:jc w:val="both"/>
              <w:rPr>
                <w:rFonts w:hint="eastAsia" w:ascii="宋体" w:hAnsi="宋体" w:cs="Arial"/>
                <w:b/>
                <w:bCs/>
                <w:color w:val="000000" w:themeColor="text1"/>
                <w:kern w:val="2"/>
                <w:sz w:val="28"/>
                <w:szCs w:val="28"/>
                <w:lang w:val="en-US" w:eastAsia="zh-CN" w:bidi="ar-SA"/>
                <w14:textFill>
                  <w14:solidFill>
                    <w14:schemeClr w14:val="tx1"/>
                  </w14:solidFill>
                </w14:textFill>
              </w:rPr>
            </w:pPr>
            <w:r>
              <w:rPr>
                <w:rFonts w:hint="eastAsia" w:ascii="宋体" w:hAnsi="宋体"/>
                <w:b/>
                <w:bCs w:val="0"/>
                <w:szCs w:val="24"/>
              </w:rPr>
              <w:t>注：以上服务内容及要求各项内容必须满足或优于，否则视为无效响应</w:t>
            </w:r>
            <w:r>
              <w:rPr>
                <w:rFonts w:hint="eastAsia" w:ascii="宋体" w:hAnsi="宋体"/>
                <w:b/>
                <w:bCs w:val="0"/>
                <w:szCs w:val="24"/>
                <w:lang w:eastAsia="zh-CN"/>
              </w:rPr>
              <w:t>，</w:t>
            </w:r>
            <w:r>
              <w:rPr>
                <w:rFonts w:hint="eastAsia" w:ascii="宋体" w:hAnsi="宋体"/>
                <w:b/>
                <w:bCs w:val="0"/>
                <w:szCs w:val="24"/>
                <w:lang w:val="en-US" w:eastAsia="zh-CN"/>
              </w:rPr>
              <w:t>取消报价资格</w:t>
            </w:r>
            <w:r>
              <w:rPr>
                <w:rFonts w:hint="eastAsia" w:ascii="宋体" w:hAnsi="宋体"/>
                <w:b/>
                <w:bCs w:val="0"/>
                <w:szCs w:val="24"/>
              </w:rPr>
              <w:t>。</w:t>
            </w:r>
          </w:p>
        </w:tc>
      </w:tr>
    </w:tbl>
    <w:p w14:paraId="659814D5">
      <w:pPr>
        <w:pStyle w:val="2"/>
      </w:pPr>
    </w:p>
    <w:p w14:paraId="73E161A5"/>
    <w:tbl>
      <w:tblPr>
        <w:tblStyle w:val="7"/>
        <w:tblW w:w="9439" w:type="dxa"/>
        <w:tblInd w:w="-5" w:type="dxa"/>
        <w:tblLayout w:type="fixed"/>
        <w:tblCellMar>
          <w:top w:w="0" w:type="dxa"/>
          <w:left w:w="108" w:type="dxa"/>
          <w:bottom w:w="0" w:type="dxa"/>
          <w:right w:w="108" w:type="dxa"/>
        </w:tblCellMar>
      </w:tblPr>
      <w:tblGrid>
        <w:gridCol w:w="1221"/>
        <w:gridCol w:w="6180"/>
        <w:gridCol w:w="1050"/>
        <w:gridCol w:w="988"/>
      </w:tblGrid>
      <w:tr w14:paraId="34FDC598">
        <w:tblPrEx>
          <w:tblCellMar>
            <w:top w:w="0" w:type="dxa"/>
            <w:left w:w="108" w:type="dxa"/>
            <w:bottom w:w="0" w:type="dxa"/>
            <w:right w:w="108" w:type="dxa"/>
          </w:tblCellMar>
        </w:tblPrEx>
        <w:trPr>
          <w:trHeight w:val="788" w:hRule="atLeast"/>
        </w:trPr>
        <w:tc>
          <w:tcPr>
            <w:tcW w:w="9439" w:type="dxa"/>
            <w:gridSpan w:val="4"/>
            <w:tcBorders>
              <w:top w:val="single" w:color="auto" w:sz="4" w:space="0"/>
              <w:left w:val="single" w:color="auto" w:sz="4" w:space="0"/>
              <w:bottom w:val="single" w:color="auto" w:sz="4" w:space="0"/>
              <w:right w:val="single" w:color="auto" w:sz="4" w:space="0"/>
            </w:tcBorders>
            <w:vAlign w:val="center"/>
          </w:tcPr>
          <w:p w14:paraId="256875A3">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797A16CD">
        <w:tblPrEx>
          <w:tblCellMar>
            <w:top w:w="0" w:type="dxa"/>
            <w:left w:w="108" w:type="dxa"/>
            <w:bottom w:w="0" w:type="dxa"/>
            <w:right w:w="108" w:type="dxa"/>
          </w:tblCellMar>
        </w:tblPrEx>
        <w:trPr>
          <w:trHeight w:val="663" w:hRule="atLeast"/>
        </w:trPr>
        <w:tc>
          <w:tcPr>
            <w:tcW w:w="1221" w:type="dxa"/>
            <w:tcBorders>
              <w:top w:val="single" w:color="auto" w:sz="4" w:space="0"/>
              <w:left w:val="single" w:color="auto" w:sz="4" w:space="0"/>
              <w:bottom w:val="single" w:color="auto" w:sz="4" w:space="0"/>
              <w:right w:val="single" w:color="auto" w:sz="4" w:space="0"/>
            </w:tcBorders>
            <w:vAlign w:val="center"/>
          </w:tcPr>
          <w:p w14:paraId="3E78DDE6">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6180" w:type="dxa"/>
            <w:tcBorders>
              <w:top w:val="single" w:color="auto" w:sz="4" w:space="0"/>
              <w:left w:val="single" w:color="auto" w:sz="4" w:space="0"/>
              <w:bottom w:val="single" w:color="auto" w:sz="4" w:space="0"/>
              <w:right w:val="single" w:color="auto" w:sz="4" w:space="0"/>
            </w:tcBorders>
            <w:vAlign w:val="center"/>
          </w:tcPr>
          <w:p w14:paraId="63F6187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1050" w:type="dxa"/>
            <w:tcBorders>
              <w:top w:val="single" w:color="auto" w:sz="4" w:space="0"/>
              <w:left w:val="single" w:color="auto" w:sz="4" w:space="0"/>
              <w:bottom w:val="single" w:color="auto" w:sz="4" w:space="0"/>
              <w:right w:val="single" w:color="auto" w:sz="4" w:space="0"/>
            </w:tcBorders>
            <w:vAlign w:val="center"/>
          </w:tcPr>
          <w:p w14:paraId="510671FD">
            <w:pPr>
              <w:widowControl/>
              <w:spacing w:line="300" w:lineRule="exact"/>
              <w:jc w:val="center"/>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988" w:type="dxa"/>
            <w:tcBorders>
              <w:top w:val="single" w:color="auto" w:sz="4" w:space="0"/>
              <w:left w:val="single" w:color="auto" w:sz="4" w:space="0"/>
              <w:bottom w:val="single" w:color="auto" w:sz="4" w:space="0"/>
              <w:right w:val="single" w:color="auto" w:sz="4" w:space="0"/>
            </w:tcBorders>
            <w:vAlign w:val="center"/>
          </w:tcPr>
          <w:p w14:paraId="5F251E80">
            <w:pPr>
              <w:widowControl/>
              <w:spacing w:line="300" w:lineRule="exact"/>
              <w:jc w:val="center"/>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19DC66B3">
        <w:tblPrEx>
          <w:tblCellMar>
            <w:top w:w="0" w:type="dxa"/>
            <w:left w:w="108" w:type="dxa"/>
            <w:bottom w:w="0" w:type="dxa"/>
            <w:right w:w="108" w:type="dxa"/>
          </w:tblCellMar>
        </w:tblPrEx>
        <w:trPr>
          <w:trHeight w:val="644" w:hRule="atLeast"/>
        </w:trPr>
        <w:tc>
          <w:tcPr>
            <w:tcW w:w="1221" w:type="dxa"/>
            <w:tcBorders>
              <w:top w:val="single" w:color="auto" w:sz="4" w:space="0"/>
              <w:left w:val="single" w:color="auto" w:sz="4" w:space="0"/>
              <w:bottom w:val="single" w:color="auto" w:sz="4" w:space="0"/>
              <w:right w:val="single" w:color="auto" w:sz="4" w:space="0"/>
            </w:tcBorders>
            <w:vAlign w:val="center"/>
          </w:tcPr>
          <w:p w14:paraId="31B392E2">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6180" w:type="dxa"/>
            <w:tcBorders>
              <w:top w:val="single" w:color="auto" w:sz="4" w:space="0"/>
              <w:left w:val="single" w:color="auto" w:sz="4" w:space="0"/>
              <w:bottom w:val="single" w:color="auto" w:sz="4" w:space="0"/>
              <w:right w:val="single" w:color="auto" w:sz="4" w:space="0"/>
            </w:tcBorders>
            <w:vAlign w:val="center"/>
          </w:tcPr>
          <w:p w14:paraId="4682CD49">
            <w:pPr>
              <w:numPr>
                <w:ilvl w:val="0"/>
                <w:numId w:val="0"/>
              </w:numPr>
              <w:spacing w:line="360" w:lineRule="auto"/>
              <w:rPr>
                <w:rFonts w:hint="eastAsia" w:ascii="宋体" w:hAnsi="宋体"/>
                <w:szCs w:val="21"/>
              </w:rPr>
            </w:pPr>
            <w:r>
              <w:rPr>
                <w:rFonts w:hint="eastAsia" w:ascii="宋体" w:hAnsi="宋体"/>
                <w:szCs w:val="21"/>
                <w:lang w:val="en-US" w:eastAsia="zh-CN"/>
              </w:rPr>
              <w:t>服务内容</w:t>
            </w:r>
          </w:p>
        </w:tc>
        <w:tc>
          <w:tcPr>
            <w:tcW w:w="1050" w:type="dxa"/>
            <w:tcBorders>
              <w:top w:val="single" w:color="auto" w:sz="4" w:space="0"/>
              <w:left w:val="single" w:color="auto" w:sz="4" w:space="0"/>
              <w:bottom w:val="single" w:color="auto" w:sz="4" w:space="0"/>
              <w:right w:val="single" w:color="auto" w:sz="4" w:space="0"/>
            </w:tcBorders>
            <w:vAlign w:val="top"/>
          </w:tcPr>
          <w:p w14:paraId="17B664B8">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5BD2F070">
            <w:pPr>
              <w:rPr>
                <w:rFonts w:hint="eastAsia" w:ascii="宋体" w:hAnsi="宋体" w:eastAsia="宋体" w:cs="Arial"/>
                <w:color w:val="FF0000"/>
                <w:kern w:val="2"/>
                <w:sz w:val="22"/>
                <w:szCs w:val="22"/>
                <w:lang w:val="en-US" w:eastAsia="zh-CN" w:bidi="ar-SA"/>
              </w:rPr>
            </w:pPr>
          </w:p>
        </w:tc>
      </w:tr>
      <w:tr w14:paraId="52180099">
        <w:tblPrEx>
          <w:tblCellMar>
            <w:top w:w="0" w:type="dxa"/>
            <w:left w:w="108" w:type="dxa"/>
            <w:bottom w:w="0" w:type="dxa"/>
            <w:right w:w="108" w:type="dxa"/>
          </w:tblCellMar>
        </w:tblPrEx>
        <w:trPr>
          <w:trHeight w:val="953" w:hRule="atLeast"/>
        </w:trPr>
        <w:tc>
          <w:tcPr>
            <w:tcW w:w="1221" w:type="dxa"/>
            <w:tcBorders>
              <w:top w:val="single" w:color="auto" w:sz="4" w:space="0"/>
              <w:left w:val="single" w:color="auto" w:sz="4" w:space="0"/>
              <w:bottom w:val="single" w:color="auto" w:sz="4" w:space="0"/>
              <w:right w:val="single" w:color="auto" w:sz="4" w:space="0"/>
            </w:tcBorders>
            <w:vAlign w:val="center"/>
          </w:tcPr>
          <w:p w14:paraId="402C14E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1.1</w:t>
            </w:r>
          </w:p>
        </w:tc>
        <w:tc>
          <w:tcPr>
            <w:tcW w:w="6180" w:type="dxa"/>
            <w:tcBorders>
              <w:top w:val="single" w:color="auto" w:sz="4" w:space="0"/>
              <w:left w:val="single" w:color="auto" w:sz="4" w:space="0"/>
              <w:bottom w:val="single" w:color="auto" w:sz="4" w:space="0"/>
              <w:right w:val="single" w:color="auto" w:sz="4" w:space="0"/>
            </w:tcBorders>
            <w:vAlign w:val="center"/>
          </w:tcPr>
          <w:p w14:paraId="255C17DC">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服务内容应包含维修服务全部材料、配件、人工、机械、存储、运输、保险、劳保、各种税费及质量保证期间的一切费用，采购人不支付其他费用。</w:t>
            </w:r>
          </w:p>
        </w:tc>
        <w:tc>
          <w:tcPr>
            <w:tcW w:w="1050" w:type="dxa"/>
            <w:tcBorders>
              <w:top w:val="single" w:color="auto" w:sz="4" w:space="0"/>
              <w:left w:val="single" w:color="auto" w:sz="4" w:space="0"/>
              <w:bottom w:val="single" w:color="auto" w:sz="4" w:space="0"/>
              <w:right w:val="single" w:color="auto" w:sz="4" w:space="0"/>
            </w:tcBorders>
            <w:vAlign w:val="top"/>
          </w:tcPr>
          <w:p w14:paraId="103A9F12">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7B02684A">
            <w:pPr>
              <w:rPr>
                <w:rFonts w:hint="eastAsia" w:ascii="宋体" w:hAnsi="宋体" w:eastAsia="宋体" w:cs="Arial"/>
                <w:color w:val="FF0000"/>
                <w:kern w:val="2"/>
                <w:sz w:val="22"/>
                <w:szCs w:val="22"/>
                <w:lang w:val="en-US" w:eastAsia="zh-CN" w:bidi="ar-SA"/>
              </w:rPr>
            </w:pPr>
          </w:p>
        </w:tc>
      </w:tr>
      <w:tr w14:paraId="1D703561">
        <w:tblPrEx>
          <w:tblCellMar>
            <w:top w:w="0" w:type="dxa"/>
            <w:left w:w="108" w:type="dxa"/>
            <w:bottom w:w="0" w:type="dxa"/>
            <w:right w:w="108" w:type="dxa"/>
          </w:tblCellMar>
        </w:tblPrEx>
        <w:trPr>
          <w:trHeight w:val="973" w:hRule="atLeast"/>
        </w:trPr>
        <w:tc>
          <w:tcPr>
            <w:tcW w:w="1221" w:type="dxa"/>
            <w:tcBorders>
              <w:top w:val="single" w:color="auto" w:sz="4" w:space="0"/>
              <w:left w:val="single" w:color="auto" w:sz="4" w:space="0"/>
              <w:bottom w:val="single" w:color="auto" w:sz="4" w:space="0"/>
              <w:right w:val="single" w:color="auto" w:sz="4" w:space="0"/>
            </w:tcBorders>
            <w:vAlign w:val="center"/>
          </w:tcPr>
          <w:p w14:paraId="1132483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1.2</w:t>
            </w:r>
          </w:p>
        </w:tc>
        <w:tc>
          <w:tcPr>
            <w:tcW w:w="6180" w:type="dxa"/>
            <w:tcBorders>
              <w:top w:val="single" w:color="auto" w:sz="4" w:space="0"/>
              <w:left w:val="single" w:color="auto" w:sz="4" w:space="0"/>
              <w:bottom w:val="single" w:color="auto" w:sz="4" w:space="0"/>
              <w:right w:val="single" w:color="auto" w:sz="4" w:space="0"/>
            </w:tcBorders>
            <w:vAlign w:val="center"/>
          </w:tcPr>
          <w:p w14:paraId="2B5A6FB6">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供应商所提供的服务及货物须保证符合国家标准，且符合行业安全操作。</w:t>
            </w:r>
          </w:p>
        </w:tc>
        <w:tc>
          <w:tcPr>
            <w:tcW w:w="1050" w:type="dxa"/>
            <w:tcBorders>
              <w:top w:val="single" w:color="auto" w:sz="4" w:space="0"/>
              <w:left w:val="single" w:color="auto" w:sz="4" w:space="0"/>
              <w:bottom w:val="single" w:color="auto" w:sz="4" w:space="0"/>
              <w:right w:val="single" w:color="auto" w:sz="4" w:space="0"/>
            </w:tcBorders>
            <w:vAlign w:val="top"/>
          </w:tcPr>
          <w:p w14:paraId="7C0C2983">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5B7251BE">
            <w:pPr>
              <w:rPr>
                <w:rFonts w:hint="eastAsia" w:ascii="宋体" w:hAnsi="宋体" w:eastAsia="宋体" w:cs="Arial"/>
                <w:color w:val="FF0000"/>
                <w:kern w:val="2"/>
                <w:sz w:val="22"/>
                <w:szCs w:val="22"/>
                <w:lang w:val="en-US" w:eastAsia="zh-CN" w:bidi="ar-SA"/>
              </w:rPr>
            </w:pPr>
          </w:p>
        </w:tc>
      </w:tr>
      <w:tr w14:paraId="26C082E9">
        <w:tblPrEx>
          <w:tblCellMar>
            <w:top w:w="0" w:type="dxa"/>
            <w:left w:w="108" w:type="dxa"/>
            <w:bottom w:w="0" w:type="dxa"/>
            <w:right w:w="108" w:type="dxa"/>
          </w:tblCellMar>
        </w:tblPrEx>
        <w:trPr>
          <w:trHeight w:val="917" w:hRule="atLeast"/>
        </w:trPr>
        <w:tc>
          <w:tcPr>
            <w:tcW w:w="1221" w:type="dxa"/>
            <w:tcBorders>
              <w:top w:val="single" w:color="auto" w:sz="4" w:space="0"/>
              <w:left w:val="single" w:color="auto" w:sz="4" w:space="0"/>
              <w:bottom w:val="single" w:color="auto" w:sz="4" w:space="0"/>
              <w:right w:val="single" w:color="auto" w:sz="4" w:space="0"/>
            </w:tcBorders>
            <w:vAlign w:val="center"/>
          </w:tcPr>
          <w:p w14:paraId="62C2BB98">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1.3</w:t>
            </w:r>
          </w:p>
        </w:tc>
        <w:tc>
          <w:tcPr>
            <w:tcW w:w="6180" w:type="dxa"/>
            <w:tcBorders>
              <w:top w:val="single" w:color="auto" w:sz="4" w:space="0"/>
              <w:left w:val="single" w:color="auto" w:sz="4" w:space="0"/>
              <w:bottom w:val="single" w:color="auto" w:sz="4" w:space="0"/>
              <w:right w:val="single" w:color="auto" w:sz="4" w:space="0"/>
            </w:tcBorders>
            <w:vAlign w:val="center"/>
          </w:tcPr>
          <w:p w14:paraId="735A1DF1">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供应商对维护服务所涉及的知识产权问题负责。</w:t>
            </w:r>
          </w:p>
        </w:tc>
        <w:tc>
          <w:tcPr>
            <w:tcW w:w="1050" w:type="dxa"/>
            <w:tcBorders>
              <w:top w:val="single" w:color="auto" w:sz="4" w:space="0"/>
              <w:left w:val="single" w:color="auto" w:sz="4" w:space="0"/>
              <w:bottom w:val="single" w:color="auto" w:sz="4" w:space="0"/>
              <w:right w:val="single" w:color="auto" w:sz="4" w:space="0"/>
            </w:tcBorders>
            <w:vAlign w:val="top"/>
          </w:tcPr>
          <w:p w14:paraId="0F399897">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02F428B9">
            <w:pPr>
              <w:rPr>
                <w:rFonts w:hint="eastAsia" w:ascii="宋体" w:hAnsi="宋体" w:eastAsia="宋体" w:cs="Arial"/>
                <w:color w:val="FF0000"/>
                <w:kern w:val="2"/>
                <w:sz w:val="22"/>
                <w:szCs w:val="22"/>
                <w:lang w:val="en-US" w:eastAsia="zh-CN" w:bidi="ar-SA"/>
              </w:rPr>
            </w:pPr>
          </w:p>
        </w:tc>
      </w:tr>
      <w:tr w14:paraId="0E27D624">
        <w:tblPrEx>
          <w:tblCellMar>
            <w:top w:w="0" w:type="dxa"/>
            <w:left w:w="108" w:type="dxa"/>
            <w:bottom w:w="0" w:type="dxa"/>
            <w:right w:w="108" w:type="dxa"/>
          </w:tblCellMar>
        </w:tblPrEx>
        <w:trPr>
          <w:trHeight w:val="827" w:hRule="atLeast"/>
        </w:trPr>
        <w:tc>
          <w:tcPr>
            <w:tcW w:w="1221" w:type="dxa"/>
            <w:tcBorders>
              <w:top w:val="single" w:color="auto" w:sz="4" w:space="0"/>
              <w:left w:val="single" w:color="auto" w:sz="4" w:space="0"/>
              <w:bottom w:val="single" w:color="auto" w:sz="4" w:space="0"/>
              <w:right w:val="single" w:color="auto" w:sz="4" w:space="0"/>
            </w:tcBorders>
            <w:vAlign w:val="center"/>
          </w:tcPr>
          <w:p w14:paraId="311699FC">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6180" w:type="dxa"/>
            <w:tcBorders>
              <w:top w:val="single" w:color="auto" w:sz="4" w:space="0"/>
              <w:left w:val="single" w:color="auto" w:sz="4" w:space="0"/>
              <w:bottom w:val="single" w:color="auto" w:sz="4" w:space="0"/>
              <w:right w:val="single" w:color="auto" w:sz="4" w:space="0"/>
            </w:tcBorders>
            <w:vAlign w:val="center"/>
          </w:tcPr>
          <w:p w14:paraId="461A09CB">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供应商提供的故障维修服务维保期内不限次数。</w:t>
            </w:r>
          </w:p>
        </w:tc>
        <w:tc>
          <w:tcPr>
            <w:tcW w:w="1050" w:type="dxa"/>
            <w:tcBorders>
              <w:top w:val="single" w:color="auto" w:sz="4" w:space="0"/>
              <w:left w:val="single" w:color="auto" w:sz="4" w:space="0"/>
              <w:bottom w:val="single" w:color="auto" w:sz="4" w:space="0"/>
              <w:right w:val="single" w:color="auto" w:sz="4" w:space="0"/>
            </w:tcBorders>
            <w:vAlign w:val="top"/>
          </w:tcPr>
          <w:p w14:paraId="3BF031E9">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7686D631">
            <w:pPr>
              <w:rPr>
                <w:rFonts w:hint="eastAsia" w:ascii="宋体" w:hAnsi="宋体" w:eastAsia="宋体" w:cs="Arial"/>
                <w:color w:val="FF0000"/>
                <w:kern w:val="2"/>
                <w:sz w:val="22"/>
                <w:szCs w:val="22"/>
                <w:lang w:val="en-US" w:eastAsia="zh-CN" w:bidi="ar-SA"/>
              </w:rPr>
            </w:pPr>
          </w:p>
        </w:tc>
      </w:tr>
      <w:tr w14:paraId="22A4A9AF">
        <w:tblPrEx>
          <w:tblCellMar>
            <w:top w:w="0" w:type="dxa"/>
            <w:left w:w="108" w:type="dxa"/>
            <w:bottom w:w="0" w:type="dxa"/>
            <w:right w:w="108" w:type="dxa"/>
          </w:tblCellMar>
        </w:tblPrEx>
        <w:trPr>
          <w:trHeight w:val="1218" w:hRule="atLeast"/>
        </w:trPr>
        <w:tc>
          <w:tcPr>
            <w:tcW w:w="1221" w:type="dxa"/>
            <w:tcBorders>
              <w:top w:val="single" w:color="auto" w:sz="4" w:space="0"/>
              <w:left w:val="single" w:color="auto" w:sz="4" w:space="0"/>
              <w:bottom w:val="single" w:color="auto" w:sz="4" w:space="0"/>
              <w:right w:val="single" w:color="auto" w:sz="4" w:space="0"/>
            </w:tcBorders>
            <w:vAlign w:val="center"/>
          </w:tcPr>
          <w:p w14:paraId="0FC06E4B">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6180" w:type="dxa"/>
            <w:tcBorders>
              <w:top w:val="single" w:color="auto" w:sz="4" w:space="0"/>
              <w:left w:val="single" w:color="auto" w:sz="4" w:space="0"/>
              <w:bottom w:val="single" w:color="auto" w:sz="4" w:space="0"/>
              <w:right w:val="single" w:color="auto" w:sz="4" w:space="0"/>
            </w:tcBorders>
            <w:vAlign w:val="center"/>
          </w:tcPr>
          <w:p w14:paraId="70A5A91C">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付款方式：合同签订时供应商向采购人支付合同总价的5%作为履约保证金。验收合格、服务期满无异议后按医院的支付流程支付维保费用并向乙方无息退还履约保证金</w:t>
            </w:r>
            <w:r>
              <w:rPr>
                <w:rFonts w:hint="eastAsia" w:ascii="宋体" w:hAnsi="宋体" w:cs="Times New Roman"/>
                <w:kern w:val="2"/>
                <w:sz w:val="21"/>
                <w:szCs w:val="21"/>
                <w:lang w:val="en-US" w:eastAsia="zh-CN" w:bidi="ar-SA"/>
              </w:rPr>
              <w:t>。</w:t>
            </w:r>
          </w:p>
        </w:tc>
        <w:tc>
          <w:tcPr>
            <w:tcW w:w="1050" w:type="dxa"/>
            <w:tcBorders>
              <w:top w:val="single" w:color="auto" w:sz="4" w:space="0"/>
              <w:left w:val="single" w:color="auto" w:sz="4" w:space="0"/>
              <w:bottom w:val="single" w:color="auto" w:sz="4" w:space="0"/>
              <w:right w:val="single" w:color="auto" w:sz="4" w:space="0"/>
            </w:tcBorders>
            <w:vAlign w:val="top"/>
          </w:tcPr>
          <w:p w14:paraId="7086BBC5">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3EF6F282">
            <w:pPr>
              <w:rPr>
                <w:rFonts w:hint="eastAsia" w:ascii="宋体" w:hAnsi="宋体" w:eastAsia="宋体" w:cs="Arial"/>
                <w:color w:val="FF0000"/>
                <w:kern w:val="2"/>
                <w:sz w:val="22"/>
                <w:szCs w:val="22"/>
                <w:lang w:val="en-US" w:eastAsia="zh-CN" w:bidi="ar-SA"/>
              </w:rPr>
            </w:pPr>
          </w:p>
        </w:tc>
      </w:tr>
      <w:tr w14:paraId="54845558">
        <w:tblPrEx>
          <w:tblCellMar>
            <w:top w:w="0" w:type="dxa"/>
            <w:left w:w="108" w:type="dxa"/>
            <w:bottom w:w="0" w:type="dxa"/>
            <w:right w:w="108" w:type="dxa"/>
          </w:tblCellMar>
        </w:tblPrEx>
        <w:trPr>
          <w:trHeight w:val="1028" w:hRule="atLeast"/>
        </w:trPr>
        <w:tc>
          <w:tcPr>
            <w:tcW w:w="1221" w:type="dxa"/>
            <w:tcBorders>
              <w:top w:val="single" w:color="auto" w:sz="4" w:space="0"/>
              <w:left w:val="single" w:color="auto" w:sz="4" w:space="0"/>
              <w:bottom w:val="single" w:color="auto" w:sz="4" w:space="0"/>
              <w:right w:val="single" w:color="auto" w:sz="4" w:space="0"/>
            </w:tcBorders>
            <w:vAlign w:val="center"/>
          </w:tcPr>
          <w:p w14:paraId="17D9F50C">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4</w:t>
            </w:r>
          </w:p>
        </w:tc>
        <w:tc>
          <w:tcPr>
            <w:tcW w:w="6180" w:type="dxa"/>
            <w:tcBorders>
              <w:top w:val="single" w:color="auto" w:sz="4" w:space="0"/>
              <w:left w:val="single" w:color="auto" w:sz="4" w:space="0"/>
              <w:bottom w:val="single" w:color="auto" w:sz="4" w:space="0"/>
              <w:right w:val="single" w:color="auto" w:sz="4" w:space="0"/>
            </w:tcBorders>
            <w:vAlign w:val="center"/>
          </w:tcPr>
          <w:p w14:paraId="171D0857">
            <w:pPr>
              <w:pStyle w:val="6"/>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验收：每次维修服务由成交供应商填写维修服务报告单并由采购单位使用科室签字确认。</w:t>
            </w:r>
          </w:p>
        </w:tc>
        <w:tc>
          <w:tcPr>
            <w:tcW w:w="1050" w:type="dxa"/>
            <w:tcBorders>
              <w:top w:val="single" w:color="auto" w:sz="4" w:space="0"/>
              <w:left w:val="single" w:color="auto" w:sz="4" w:space="0"/>
              <w:bottom w:val="single" w:color="auto" w:sz="4" w:space="0"/>
              <w:right w:val="single" w:color="auto" w:sz="4" w:space="0"/>
            </w:tcBorders>
            <w:vAlign w:val="top"/>
          </w:tcPr>
          <w:p w14:paraId="3B08A3E4">
            <w:pPr>
              <w:rPr>
                <w:rFonts w:hint="eastAsia" w:ascii="宋体" w:hAnsi="宋体" w:eastAsia="宋体" w:cs="Arial"/>
                <w:color w:val="FF0000"/>
                <w:kern w:val="2"/>
                <w:sz w:val="22"/>
                <w:szCs w:val="22"/>
                <w:lang w:val="en-US" w:eastAsia="zh-CN" w:bidi="ar-SA"/>
              </w:rPr>
            </w:pPr>
          </w:p>
        </w:tc>
        <w:tc>
          <w:tcPr>
            <w:tcW w:w="988" w:type="dxa"/>
            <w:tcBorders>
              <w:top w:val="single" w:color="auto" w:sz="4" w:space="0"/>
              <w:left w:val="single" w:color="auto" w:sz="4" w:space="0"/>
              <w:bottom w:val="single" w:color="auto" w:sz="4" w:space="0"/>
              <w:right w:val="single" w:color="auto" w:sz="4" w:space="0"/>
            </w:tcBorders>
            <w:vAlign w:val="top"/>
          </w:tcPr>
          <w:p w14:paraId="2C5625C5">
            <w:pPr>
              <w:rPr>
                <w:rFonts w:hint="eastAsia" w:ascii="宋体" w:hAnsi="宋体" w:eastAsia="宋体" w:cs="Arial"/>
                <w:color w:val="FF0000"/>
                <w:kern w:val="2"/>
                <w:sz w:val="22"/>
                <w:szCs w:val="22"/>
                <w:lang w:val="en-US" w:eastAsia="zh-CN" w:bidi="ar-SA"/>
              </w:rPr>
            </w:pPr>
          </w:p>
        </w:tc>
      </w:tr>
      <w:tr w14:paraId="32EEBE16">
        <w:tblPrEx>
          <w:tblCellMar>
            <w:top w:w="0" w:type="dxa"/>
            <w:left w:w="108" w:type="dxa"/>
            <w:bottom w:w="0" w:type="dxa"/>
            <w:right w:w="108" w:type="dxa"/>
          </w:tblCellMar>
        </w:tblPrEx>
        <w:trPr>
          <w:trHeight w:val="469" w:hRule="atLeast"/>
        </w:trPr>
        <w:tc>
          <w:tcPr>
            <w:tcW w:w="9439" w:type="dxa"/>
            <w:gridSpan w:val="4"/>
            <w:tcBorders>
              <w:top w:val="single" w:color="auto" w:sz="4" w:space="0"/>
              <w:left w:val="single" w:color="auto" w:sz="4" w:space="0"/>
              <w:bottom w:val="single" w:color="auto" w:sz="4" w:space="0"/>
              <w:right w:val="single" w:color="auto" w:sz="4" w:space="0"/>
            </w:tcBorders>
            <w:vAlign w:val="center"/>
          </w:tcPr>
          <w:p w14:paraId="135A667B">
            <w:pPr>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eastAsia="宋体" w:cs="Arial"/>
                <w:color w:val="FF0000"/>
                <w:kern w:val="2"/>
                <w:sz w:val="22"/>
                <w:szCs w:val="22"/>
                <w:lang w:val="en-US" w:eastAsia="zh-CN" w:bidi="ar-SA"/>
              </w:rPr>
            </w:pPr>
            <w:r>
              <w:rPr>
                <w:rFonts w:hint="eastAsia" w:ascii="宋体" w:hAnsi="宋体"/>
                <w:b/>
                <w:bCs/>
                <w:szCs w:val="24"/>
              </w:rPr>
              <w:t>注：以上商务条款各项内容必须满足或优于，否则视为无效响应</w:t>
            </w:r>
            <w:r>
              <w:rPr>
                <w:rFonts w:hint="eastAsia" w:ascii="宋体" w:hAnsi="宋体"/>
                <w:b/>
                <w:bCs/>
                <w:szCs w:val="24"/>
                <w:lang w:eastAsia="zh-CN"/>
              </w:rPr>
              <w:t>，</w:t>
            </w:r>
            <w:r>
              <w:rPr>
                <w:rFonts w:hint="eastAsia" w:ascii="宋体" w:hAnsi="宋体"/>
                <w:b/>
                <w:bCs w:val="0"/>
                <w:szCs w:val="24"/>
                <w:lang w:val="en-US" w:eastAsia="zh-CN"/>
              </w:rPr>
              <w:t>取消报价资格</w:t>
            </w:r>
            <w:r>
              <w:rPr>
                <w:rFonts w:hint="eastAsia" w:ascii="宋体" w:hAnsi="宋体"/>
                <w:b/>
                <w:bCs/>
                <w:szCs w:val="24"/>
              </w:rPr>
              <w:t>。</w:t>
            </w:r>
          </w:p>
        </w:tc>
      </w:tr>
    </w:tbl>
    <w:p w14:paraId="681BC239">
      <w:pPr>
        <w:widowControl/>
        <w:spacing w:line="360" w:lineRule="auto"/>
        <w:rPr>
          <w:rFonts w:hint="eastAsia" w:ascii="宋体" w:hAnsi="宋体" w:cs="宋体"/>
          <w:b/>
          <w:bCs/>
          <w:sz w:val="24"/>
          <w:szCs w:val="24"/>
        </w:rPr>
      </w:pPr>
    </w:p>
    <w:p w14:paraId="38C466CB">
      <w:pPr>
        <w:widowControl/>
        <w:spacing w:line="360" w:lineRule="auto"/>
        <w:rPr>
          <w:rFonts w:hint="eastAsia" w:ascii="宋体" w:hAnsi="宋体" w:cs="宋体"/>
          <w:b/>
          <w:bCs/>
          <w:sz w:val="24"/>
          <w:szCs w:val="24"/>
        </w:rPr>
      </w:pPr>
    </w:p>
    <w:p w14:paraId="2FBCC979">
      <w:pPr>
        <w:widowControl/>
        <w:spacing w:line="360" w:lineRule="auto"/>
        <w:rPr>
          <w:rFonts w:hint="eastAsia" w:ascii="宋体" w:hAnsi="宋体" w:cs="宋体"/>
          <w:b/>
          <w:bCs/>
          <w:sz w:val="24"/>
          <w:szCs w:val="24"/>
        </w:rPr>
      </w:pPr>
    </w:p>
    <w:p w14:paraId="3F4D1235">
      <w:pPr>
        <w:widowControl/>
        <w:spacing w:line="360" w:lineRule="auto"/>
        <w:rPr>
          <w:rFonts w:hint="eastAsia" w:ascii="宋体" w:hAnsi="宋体" w:cs="宋体"/>
          <w:b/>
          <w:bCs/>
          <w:sz w:val="24"/>
          <w:szCs w:val="24"/>
        </w:rPr>
      </w:pPr>
    </w:p>
    <w:p w14:paraId="7BE55BB3">
      <w:pPr>
        <w:widowControl/>
        <w:spacing w:line="360" w:lineRule="auto"/>
        <w:rPr>
          <w:rFonts w:hint="eastAsia" w:ascii="宋体" w:hAnsi="宋体" w:cs="宋体"/>
          <w:b/>
          <w:bCs/>
          <w:sz w:val="24"/>
          <w:szCs w:val="24"/>
        </w:rPr>
      </w:pPr>
    </w:p>
    <w:p w14:paraId="39BDA65E">
      <w:pPr>
        <w:widowControl/>
        <w:spacing w:line="360" w:lineRule="auto"/>
        <w:rPr>
          <w:rFonts w:hint="eastAsia" w:ascii="宋体" w:hAnsi="宋体" w:cs="宋体"/>
          <w:b/>
          <w:bCs/>
          <w:sz w:val="24"/>
          <w:szCs w:val="24"/>
        </w:rPr>
      </w:pPr>
    </w:p>
    <w:p w14:paraId="5C5924C0">
      <w:pPr>
        <w:widowControl/>
        <w:spacing w:line="360" w:lineRule="auto"/>
        <w:rPr>
          <w:rFonts w:hint="eastAsia" w:ascii="宋体" w:hAnsi="宋体" w:cs="宋体"/>
          <w:b/>
          <w:bCs/>
          <w:sz w:val="24"/>
          <w:szCs w:val="24"/>
        </w:rPr>
      </w:pPr>
    </w:p>
    <w:p w14:paraId="398F86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B7CFB"/>
    <w:rsid w:val="0D7F4949"/>
    <w:rsid w:val="10644BAB"/>
    <w:rsid w:val="182F4AD5"/>
    <w:rsid w:val="194B5299"/>
    <w:rsid w:val="195A08D0"/>
    <w:rsid w:val="1C7771C3"/>
    <w:rsid w:val="1EDD6247"/>
    <w:rsid w:val="2073499E"/>
    <w:rsid w:val="22F06E95"/>
    <w:rsid w:val="23DA4E37"/>
    <w:rsid w:val="26765729"/>
    <w:rsid w:val="2880333F"/>
    <w:rsid w:val="37DF6456"/>
    <w:rsid w:val="38F55DAD"/>
    <w:rsid w:val="40276580"/>
    <w:rsid w:val="40EF4827"/>
    <w:rsid w:val="495E2BB2"/>
    <w:rsid w:val="4C365A00"/>
    <w:rsid w:val="57835872"/>
    <w:rsid w:val="59F67BEB"/>
    <w:rsid w:val="5AD11930"/>
    <w:rsid w:val="74776144"/>
    <w:rsid w:val="74983CAB"/>
    <w:rsid w:val="7C3149B5"/>
    <w:rsid w:val="7C3D280D"/>
    <w:rsid w:val="7D635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spacing w:before="260" w:after="260" w:line="416" w:lineRule="auto"/>
      <w:jc w:val="left"/>
      <w:outlineLvl w:val="1"/>
    </w:pPr>
    <w:rPr>
      <w:rFonts w:ascii="Cambria" w:hAnsi="Cambria" w:cs="Times New Roman"/>
      <w:b/>
      <w:bCs/>
      <w:kern w:val="0"/>
      <w:sz w:val="32"/>
      <w:szCs w:val="32"/>
    </w:rPr>
  </w:style>
  <w:style w:type="paragraph" w:styleId="3">
    <w:name w:val="heading 3"/>
    <w:basedOn w:val="1"/>
    <w:next w:val="1"/>
    <w:qFormat/>
    <w:uiPriority w:val="99"/>
    <w:pPr>
      <w:keepNext/>
      <w:keepLines/>
      <w:spacing w:before="260" w:after="260" w:line="416" w:lineRule="auto"/>
      <w:jc w:val="left"/>
      <w:outlineLvl w:val="2"/>
    </w:pPr>
    <w:rPr>
      <w:rFonts w:ascii="宋体" w:hAnsi="宋体" w:cs="Times New Roman"/>
      <w:b/>
      <w:bCs/>
      <w:kern w:val="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before="60" w:after="60" w:line="440" w:lineRule="exact"/>
      <w:ind w:right="-8" w:rightChars="-4" w:firstLine="490" w:firstLineChars="204"/>
    </w:pPr>
    <w:rPr>
      <w:rFonts w:ascii="Calibri" w:hAnsi="Calibri" w:cs="黑体"/>
      <w:bCs/>
      <w:color w:val="000000"/>
      <w:sz w:val="24"/>
      <w:szCs w:val="20"/>
    </w:rPr>
  </w:style>
  <w:style w:type="paragraph" w:styleId="5">
    <w:name w:val="Body Text Indent"/>
    <w:basedOn w:val="1"/>
    <w:next w:val="1"/>
    <w:qFormat/>
    <w:uiPriority w:val="0"/>
    <w:pPr>
      <w:spacing w:after="120" w:afterLines="0"/>
      <w:ind w:left="420" w:leftChars="200"/>
    </w:pPr>
  </w:style>
  <w:style w:type="paragraph" w:styleId="6">
    <w:name w:val="Body Text Indent 3"/>
    <w:basedOn w:val="1"/>
    <w:unhideWhenUsed/>
    <w:qFormat/>
    <w:uiPriority w:val="99"/>
    <w:pPr>
      <w:spacing w:after="120"/>
      <w:ind w:left="420" w:leftChars="200"/>
    </w:pPr>
    <w:rPr>
      <w:rFonts w:cs="Times New Roman"/>
      <w:sz w:val="16"/>
      <w:szCs w:val="16"/>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1216</Words>
  <Characters>1334</Characters>
  <Lines>0</Lines>
  <Paragraphs>0</Paragraphs>
  <TotalTime>7</TotalTime>
  <ScaleCrop>false</ScaleCrop>
  <LinksUpToDate>false</LinksUpToDate>
  <CharactersWithSpaces>1334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2024-12-23T08:34:00Z</dcterms:created>
  <dc:creator>yxzwb</dc:creator>
  <cp:lastModifiedBy>伞迦楠</cp:lastModifiedBy>
  <dcterms:modified xsi:type="dcterms:W3CDTF">2026-07-15T02:55:14Z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35FD7AB97C9D40D39F839B80AD514ED6_12</vt:lpwstr>
  </property>
  <property fmtid="{D5CDD505-2E9C-101B-9397-08002B2CF9AE}" pid="4" name="KSOTemplateDocerSaveRecord">
    <vt:lpwstr>eyJoZGlkIjoiZjlmYjEyODZmMGNmMmJlOTcyNjMxNzExYzdiODA2MTciLCJ1c2VySWQiOiI5OTE3NjU2MTAifQ==</vt:lpwstr>
  </property>
</Properties>
</file>