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7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045"/>
        <w:gridCol w:w="4306"/>
        <w:gridCol w:w="661"/>
        <w:gridCol w:w="522"/>
      </w:tblGrid>
      <w:tr w14:paraId="522F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73" w:type="dxa"/>
            <w:gridSpan w:val="5"/>
            <w:vAlign w:val="center"/>
          </w:tcPr>
          <w:p w14:paraId="420B9A6B">
            <w:pPr>
              <w:jc w:val="center"/>
              <w:rPr>
                <w:rFonts w:ascii="Times New Roman" w:hAnsi="Times New Roman" w:eastAsia="黑体" w:cs="Times New Roman"/>
                <w:szCs w:val="21"/>
              </w:rPr>
            </w:pPr>
            <w:r>
              <w:rPr>
                <w:rFonts w:ascii="Times New Roman" w:hAnsi="Times New Roman" w:eastAsia="黑体" w:cs="Times New Roman"/>
                <w:b/>
                <w:bCs/>
                <w:sz w:val="28"/>
                <w:szCs w:val="28"/>
              </w:rPr>
              <w:t>显微镜与成像分析设备</w:t>
            </w:r>
          </w:p>
        </w:tc>
      </w:tr>
      <w:tr w14:paraId="4062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439" w:type="dxa"/>
            <w:vAlign w:val="center"/>
          </w:tcPr>
          <w:p w14:paraId="08921173">
            <w:pPr>
              <w:jc w:val="left"/>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序号</w:t>
            </w:r>
          </w:p>
        </w:tc>
        <w:tc>
          <w:tcPr>
            <w:tcW w:w="1045" w:type="dxa"/>
            <w:vAlign w:val="center"/>
          </w:tcPr>
          <w:p w14:paraId="66B42DC9">
            <w:pPr>
              <w:jc w:val="left"/>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设备名称</w:t>
            </w:r>
          </w:p>
        </w:tc>
        <w:tc>
          <w:tcPr>
            <w:tcW w:w="4306" w:type="dxa"/>
            <w:vAlign w:val="center"/>
          </w:tcPr>
          <w:p w14:paraId="294D5D06">
            <w:pPr>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性能参数</w:t>
            </w:r>
          </w:p>
        </w:tc>
        <w:tc>
          <w:tcPr>
            <w:tcW w:w="661" w:type="dxa"/>
            <w:vAlign w:val="center"/>
          </w:tcPr>
          <w:p w14:paraId="17F68354">
            <w:pPr>
              <w:jc w:val="left"/>
              <w:rPr>
                <w:rFonts w:ascii="Times New Roman" w:hAnsi="Times New Roman" w:eastAsia="宋体" w:cs="Times New Roman"/>
                <w:szCs w:val="21"/>
              </w:rPr>
            </w:pPr>
            <w:r>
              <w:rPr>
                <w:rFonts w:ascii="Times New Roman" w:hAnsi="Times New Roman" w:eastAsia="宋体" w:cs="Times New Roman"/>
                <w:szCs w:val="21"/>
              </w:rPr>
              <w:t>响应</w:t>
            </w:r>
          </w:p>
        </w:tc>
        <w:tc>
          <w:tcPr>
            <w:tcW w:w="522" w:type="dxa"/>
            <w:vAlign w:val="center"/>
          </w:tcPr>
          <w:p w14:paraId="6718E051">
            <w:pPr>
              <w:jc w:val="left"/>
              <w:rPr>
                <w:rFonts w:ascii="Times New Roman" w:hAnsi="Times New Roman" w:eastAsia="宋体" w:cs="Times New Roman"/>
                <w:szCs w:val="21"/>
              </w:rPr>
            </w:pPr>
            <w:r>
              <w:rPr>
                <w:rFonts w:ascii="Times New Roman" w:hAnsi="Times New Roman" w:eastAsia="宋体" w:cs="Times New Roman"/>
                <w:szCs w:val="21"/>
              </w:rPr>
              <w:t>偏离</w:t>
            </w:r>
          </w:p>
        </w:tc>
      </w:tr>
      <w:tr w14:paraId="773E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9" w:type="dxa"/>
            <w:vAlign w:val="center"/>
          </w:tcPr>
          <w:p w14:paraId="1981014A">
            <w:pPr>
              <w:widowControl/>
              <w:jc w:val="left"/>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szCs w:val="21"/>
              </w:rPr>
              <w:t>1</w:t>
            </w:r>
          </w:p>
        </w:tc>
        <w:tc>
          <w:tcPr>
            <w:tcW w:w="1045" w:type="dxa"/>
            <w:vAlign w:val="center"/>
          </w:tcPr>
          <w:p w14:paraId="051B3EBD">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光学显微镜</w:t>
            </w:r>
          </w:p>
        </w:tc>
        <w:tc>
          <w:tcPr>
            <w:tcW w:w="4306" w:type="dxa"/>
            <w:vAlign w:val="center"/>
          </w:tcPr>
          <w:p w14:paraId="49153BDE">
            <w:pPr>
              <w:jc w:val="left"/>
              <w:rPr>
                <w:rFonts w:ascii="Times New Roman" w:hAnsi="Times New Roman" w:eastAsia="宋体" w:cs="Times New Roman"/>
                <w:szCs w:val="21"/>
              </w:rPr>
            </w:pPr>
            <w:r>
              <w:rPr>
                <w:rFonts w:ascii="Times New Roman" w:hAnsi="Times New Roman" w:eastAsia="宋体" w:cs="Times New Roman"/>
                <w:szCs w:val="21"/>
              </w:rPr>
              <w:t>（1）光学系统：无限远色差校正光学系统，齐焦距离≤45mm，管镜焦距≤180mm</w:t>
            </w:r>
          </w:p>
          <w:p w14:paraId="4EA69129">
            <w:pPr>
              <w:jc w:val="left"/>
              <w:rPr>
                <w:rFonts w:ascii="Times New Roman" w:hAnsi="Times New Roman" w:eastAsia="宋体" w:cs="Times New Roman"/>
                <w:szCs w:val="21"/>
              </w:rPr>
            </w:pPr>
            <w:r>
              <w:rPr>
                <w:rFonts w:ascii="Times New Roman" w:hAnsi="Times New Roman" w:eastAsia="宋体" w:cs="Times New Roman"/>
                <w:szCs w:val="21"/>
              </w:rPr>
              <w:t>（2）观察筒：铰链式三目，可旋转提升眼点高度，适配不同身高操作者</w:t>
            </w:r>
          </w:p>
          <w:p w14:paraId="671B9FBE">
            <w:pPr>
              <w:jc w:val="left"/>
              <w:rPr>
                <w:rFonts w:ascii="Times New Roman" w:hAnsi="Times New Roman" w:eastAsia="宋体" w:cs="Times New Roman"/>
                <w:szCs w:val="21"/>
              </w:rPr>
            </w:pPr>
            <w:r>
              <w:rPr>
                <w:rFonts w:ascii="Times New Roman" w:hAnsi="Times New Roman" w:eastAsia="宋体" w:cs="Times New Roman"/>
                <w:szCs w:val="21"/>
              </w:rPr>
              <w:t>（3）目镜：自带视度调节高眼点大视野平场目镜PL10X/22mm</w:t>
            </w:r>
          </w:p>
          <w:p w14:paraId="29CC31AA">
            <w:pPr>
              <w:jc w:val="left"/>
              <w:rPr>
                <w:rFonts w:ascii="Times New Roman" w:hAnsi="Times New Roman" w:eastAsia="宋体" w:cs="Times New Roman"/>
                <w:szCs w:val="21"/>
              </w:rPr>
            </w:pPr>
            <w:r>
              <w:rPr>
                <w:rFonts w:ascii="Times New Roman" w:hAnsi="Times New Roman" w:eastAsia="宋体" w:cs="Times New Roman"/>
                <w:szCs w:val="21"/>
              </w:rPr>
              <w:t>（4）物镜：超长工作距无限远平场消色差相衬物镜不少于4X、10X、20X、40X</w:t>
            </w:r>
          </w:p>
          <w:p w14:paraId="199A00FB">
            <w:pPr>
              <w:jc w:val="left"/>
              <w:rPr>
                <w:rFonts w:ascii="Times New Roman" w:hAnsi="Times New Roman" w:eastAsia="宋体" w:cs="Times New Roman"/>
                <w:szCs w:val="21"/>
              </w:rPr>
            </w:pPr>
            <w:r>
              <w:rPr>
                <w:rFonts w:ascii="Times New Roman" w:hAnsi="Times New Roman" w:eastAsia="宋体" w:cs="Times New Roman"/>
                <w:szCs w:val="21"/>
              </w:rPr>
              <w:t>（5）具备物镜齐焦功能</w:t>
            </w:r>
          </w:p>
          <w:p w14:paraId="442455D4">
            <w:pPr>
              <w:jc w:val="left"/>
              <w:rPr>
                <w:rFonts w:ascii="Times New Roman" w:hAnsi="Times New Roman" w:eastAsia="宋体" w:cs="Times New Roman"/>
                <w:szCs w:val="21"/>
              </w:rPr>
            </w:pPr>
            <w:r>
              <w:rPr>
                <w:rFonts w:ascii="Times New Roman" w:hAnsi="Times New Roman" w:eastAsia="宋体" w:cs="Times New Roman"/>
                <w:szCs w:val="21"/>
              </w:rPr>
              <w:t>（6）调焦机构：粗微同轴调焦；粗调行程≥9mm，微调精度≤0.002mm</w:t>
            </w:r>
          </w:p>
          <w:p w14:paraId="40FD8C25">
            <w:pPr>
              <w:jc w:val="left"/>
              <w:rPr>
                <w:rFonts w:ascii="Times New Roman" w:hAnsi="Times New Roman" w:eastAsia="宋体" w:cs="Times New Roman"/>
                <w:szCs w:val="21"/>
              </w:rPr>
            </w:pPr>
            <w:r>
              <w:rPr>
                <w:rFonts w:ascii="Times New Roman" w:hAnsi="Times New Roman" w:eastAsia="宋体" w:cs="Times New Roman"/>
                <w:szCs w:val="21"/>
              </w:rPr>
              <w:t>（7）载物台：固定式载物平台，面积≥250×215mm，含机械移动平台与扩展平台</w:t>
            </w:r>
          </w:p>
          <w:p w14:paraId="59F63105">
            <w:pPr>
              <w:jc w:val="left"/>
              <w:rPr>
                <w:rFonts w:ascii="Times New Roman" w:hAnsi="Times New Roman" w:eastAsia="宋体" w:cs="Times New Roman"/>
                <w:szCs w:val="21"/>
              </w:rPr>
            </w:pPr>
            <w:r>
              <w:rPr>
                <w:rFonts w:ascii="Times New Roman" w:hAnsi="Times New Roman" w:eastAsia="宋体" w:cs="Times New Roman"/>
                <w:szCs w:val="21"/>
              </w:rPr>
              <w:t>（8）照明装置：外置自适应宽电压变压器，机身带透射光亮度指示条，具备 ECO 红外感应功能</w:t>
            </w:r>
          </w:p>
          <w:p w14:paraId="69683421">
            <w:pPr>
              <w:jc w:val="lef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9</w:t>
            </w:r>
            <w:r>
              <w:rPr>
                <w:rFonts w:ascii="Times New Roman" w:hAnsi="Times New Roman" w:eastAsia="宋体" w:cs="Times New Roman"/>
                <w:szCs w:val="21"/>
              </w:rPr>
              <w:t>）成像接口支持目镜与电脑端图像焦距同步调节及锁定</w:t>
            </w:r>
          </w:p>
          <w:p w14:paraId="75993513">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0</w:t>
            </w:r>
            <w:r>
              <w:rPr>
                <w:rFonts w:ascii="Times New Roman" w:hAnsi="Times New Roman" w:eastAsia="宋体" w:cs="Times New Roman"/>
                <w:szCs w:val="21"/>
              </w:rPr>
              <w:t>）成像系统：≥630万像素</w:t>
            </w:r>
          </w:p>
        </w:tc>
        <w:tc>
          <w:tcPr>
            <w:tcW w:w="661" w:type="dxa"/>
            <w:vAlign w:val="center"/>
          </w:tcPr>
          <w:p w14:paraId="1196153D">
            <w:pPr>
              <w:jc w:val="left"/>
              <w:rPr>
                <w:rFonts w:ascii="Times New Roman" w:hAnsi="Times New Roman" w:eastAsia="宋体" w:cs="Times New Roman"/>
                <w:szCs w:val="21"/>
              </w:rPr>
            </w:pPr>
          </w:p>
        </w:tc>
        <w:tc>
          <w:tcPr>
            <w:tcW w:w="522" w:type="dxa"/>
            <w:vAlign w:val="center"/>
          </w:tcPr>
          <w:p w14:paraId="45B97809">
            <w:pPr>
              <w:jc w:val="left"/>
              <w:rPr>
                <w:rFonts w:ascii="Times New Roman" w:hAnsi="Times New Roman" w:eastAsia="宋体" w:cs="Times New Roman"/>
                <w:szCs w:val="21"/>
              </w:rPr>
            </w:pPr>
          </w:p>
        </w:tc>
      </w:tr>
      <w:tr w14:paraId="0B04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9" w:type="dxa"/>
            <w:vAlign w:val="center"/>
          </w:tcPr>
          <w:p w14:paraId="38E9818A">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2</w:t>
            </w:r>
          </w:p>
        </w:tc>
        <w:tc>
          <w:tcPr>
            <w:tcW w:w="1045" w:type="dxa"/>
            <w:vAlign w:val="center"/>
          </w:tcPr>
          <w:p w14:paraId="711B60EC">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体视显微镜</w:t>
            </w:r>
          </w:p>
        </w:tc>
        <w:tc>
          <w:tcPr>
            <w:tcW w:w="4306" w:type="dxa"/>
            <w:vAlign w:val="center"/>
          </w:tcPr>
          <w:p w14:paraId="7487A5F8">
            <w:pPr>
              <w:jc w:val="left"/>
              <w:rPr>
                <w:rFonts w:ascii="Times New Roman" w:hAnsi="Times New Roman" w:eastAsia="宋体" w:cs="Times New Roman"/>
                <w:szCs w:val="21"/>
              </w:rPr>
            </w:pPr>
            <w:r>
              <w:rPr>
                <w:rFonts w:ascii="Times New Roman" w:hAnsi="Times New Roman" w:eastAsia="宋体" w:cs="Times New Roman"/>
                <w:szCs w:val="21"/>
              </w:rPr>
              <w:t>（1）光学放大倍数：6.7X-45X</w:t>
            </w:r>
          </w:p>
          <w:p w14:paraId="12F71920">
            <w:pPr>
              <w:jc w:val="left"/>
              <w:rPr>
                <w:rFonts w:ascii="Times New Roman" w:hAnsi="Times New Roman" w:eastAsia="宋体" w:cs="Times New Roman"/>
                <w:szCs w:val="21"/>
              </w:rPr>
            </w:pPr>
            <w:r>
              <w:rPr>
                <w:rFonts w:ascii="Times New Roman" w:hAnsi="Times New Roman" w:eastAsia="宋体" w:cs="Times New Roman"/>
                <w:szCs w:val="21"/>
              </w:rPr>
              <w:t>（2）目镜：自带视度调节高眼点大视野平场目镜</w:t>
            </w:r>
          </w:p>
          <w:p w14:paraId="2C8BA82F">
            <w:pPr>
              <w:jc w:val="left"/>
              <w:rPr>
                <w:rFonts w:ascii="Times New Roman" w:hAnsi="Times New Roman" w:eastAsia="宋体" w:cs="Times New Roman"/>
                <w:szCs w:val="21"/>
              </w:rPr>
            </w:pPr>
            <w:r>
              <w:rPr>
                <w:rFonts w:ascii="Times New Roman" w:hAnsi="Times New Roman" w:eastAsia="宋体" w:cs="Times New Roman"/>
                <w:szCs w:val="21"/>
              </w:rPr>
              <w:t>（3）物镜：变倍范围 0.67X-4.5X，横轴式连续变倍，变倍比不低于 1:6.7</w:t>
            </w:r>
          </w:p>
          <w:p w14:paraId="04BFD876">
            <w:pPr>
              <w:jc w:val="left"/>
              <w:rPr>
                <w:rFonts w:ascii="Times New Roman" w:hAnsi="Times New Roman" w:eastAsia="宋体" w:cs="Times New Roman"/>
                <w:szCs w:val="21"/>
              </w:rPr>
            </w:pPr>
            <w:r>
              <w:rPr>
                <w:rFonts w:ascii="Times New Roman" w:hAnsi="Times New Roman" w:eastAsia="宋体" w:cs="Times New Roman"/>
                <w:szCs w:val="21"/>
              </w:rPr>
              <w:t>（4）观察头：≥45° 倾斜、360° 旋转，瞳距可调，带定格定倍（可手动解除）与倍率限位功能</w:t>
            </w:r>
          </w:p>
          <w:p w14:paraId="4EDFE1FC">
            <w:pPr>
              <w:jc w:val="left"/>
              <w:rPr>
                <w:rFonts w:ascii="Times New Roman" w:hAnsi="Times New Roman" w:eastAsia="宋体" w:cs="Times New Roman"/>
                <w:szCs w:val="21"/>
              </w:rPr>
            </w:pPr>
            <w:r>
              <w:rPr>
                <w:rFonts w:ascii="Times New Roman" w:hAnsi="Times New Roman" w:eastAsia="宋体" w:cs="Times New Roman"/>
                <w:szCs w:val="21"/>
              </w:rPr>
              <w:t>（5）11 个倍数带有软定位</w:t>
            </w:r>
          </w:p>
          <w:p w14:paraId="42623D1D">
            <w:pPr>
              <w:jc w:val="lef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6</w:t>
            </w:r>
            <w:r>
              <w:rPr>
                <w:rFonts w:ascii="Times New Roman" w:hAnsi="Times New Roman" w:eastAsia="宋体" w:cs="Times New Roman"/>
                <w:szCs w:val="21"/>
              </w:rPr>
              <w:t>）成像系统：≥630 万像素</w:t>
            </w:r>
          </w:p>
        </w:tc>
        <w:tc>
          <w:tcPr>
            <w:tcW w:w="661" w:type="dxa"/>
            <w:vAlign w:val="center"/>
          </w:tcPr>
          <w:p w14:paraId="4DCF5348">
            <w:pPr>
              <w:jc w:val="left"/>
              <w:rPr>
                <w:rFonts w:ascii="Times New Roman" w:hAnsi="Times New Roman" w:eastAsia="宋体" w:cs="Times New Roman"/>
                <w:szCs w:val="21"/>
              </w:rPr>
            </w:pPr>
          </w:p>
        </w:tc>
        <w:tc>
          <w:tcPr>
            <w:tcW w:w="522" w:type="dxa"/>
            <w:vAlign w:val="center"/>
          </w:tcPr>
          <w:p w14:paraId="25BAD184">
            <w:pPr>
              <w:jc w:val="left"/>
              <w:rPr>
                <w:rFonts w:ascii="Times New Roman" w:hAnsi="Times New Roman" w:eastAsia="宋体" w:cs="Times New Roman"/>
                <w:szCs w:val="21"/>
              </w:rPr>
            </w:pPr>
          </w:p>
        </w:tc>
      </w:tr>
      <w:tr w14:paraId="2068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9" w:type="dxa"/>
            <w:vAlign w:val="center"/>
          </w:tcPr>
          <w:p w14:paraId="35B58F84">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3</w:t>
            </w:r>
          </w:p>
        </w:tc>
        <w:tc>
          <w:tcPr>
            <w:tcW w:w="1045" w:type="dxa"/>
            <w:vAlign w:val="center"/>
          </w:tcPr>
          <w:p w14:paraId="114F81FF">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倒置生物显微镜</w:t>
            </w:r>
          </w:p>
        </w:tc>
        <w:tc>
          <w:tcPr>
            <w:tcW w:w="4306" w:type="dxa"/>
            <w:vAlign w:val="center"/>
          </w:tcPr>
          <w:p w14:paraId="2BB20035">
            <w:pPr>
              <w:jc w:val="left"/>
              <w:rPr>
                <w:rFonts w:ascii="Times New Roman" w:hAnsi="Times New Roman" w:eastAsia="宋体" w:cs="Times New Roman"/>
                <w:szCs w:val="21"/>
              </w:rPr>
            </w:pPr>
            <w:r>
              <w:rPr>
                <w:rFonts w:ascii="Times New Roman" w:hAnsi="Times New Roman" w:eastAsia="宋体" w:cs="Times New Roman"/>
                <w:szCs w:val="21"/>
              </w:rPr>
              <w:t>（1）放大倍数：40X-400X</w:t>
            </w:r>
          </w:p>
          <w:p w14:paraId="66BEB703">
            <w:pPr>
              <w:jc w:val="left"/>
              <w:rPr>
                <w:rFonts w:ascii="Times New Roman" w:hAnsi="Times New Roman" w:eastAsia="宋体" w:cs="Times New Roman"/>
                <w:szCs w:val="21"/>
              </w:rPr>
            </w:pPr>
            <w:r>
              <w:rPr>
                <w:rFonts w:ascii="Times New Roman" w:hAnsi="Times New Roman" w:eastAsia="宋体" w:cs="Times New Roman"/>
                <w:szCs w:val="21"/>
              </w:rPr>
              <w:t>（2）观察筒：铰链式三目</w:t>
            </w:r>
          </w:p>
          <w:p w14:paraId="3D7FCC0D">
            <w:pPr>
              <w:jc w:val="left"/>
              <w:rPr>
                <w:rFonts w:ascii="Times New Roman" w:hAnsi="Times New Roman" w:eastAsia="宋体" w:cs="Times New Roman"/>
                <w:szCs w:val="21"/>
              </w:rPr>
            </w:pPr>
            <w:r>
              <w:rPr>
                <w:rFonts w:ascii="Times New Roman" w:hAnsi="Times New Roman" w:eastAsia="宋体" w:cs="Times New Roman"/>
                <w:szCs w:val="21"/>
              </w:rPr>
              <w:t>（3）目镜：自带视度调节高眼点大视野平场目镜</w:t>
            </w:r>
          </w:p>
          <w:p w14:paraId="6AC3E004">
            <w:pPr>
              <w:jc w:val="left"/>
              <w:rPr>
                <w:rFonts w:ascii="Times New Roman" w:hAnsi="Times New Roman" w:eastAsia="宋体" w:cs="Times New Roman"/>
                <w:szCs w:val="21"/>
              </w:rPr>
            </w:pPr>
            <w:r>
              <w:rPr>
                <w:rFonts w:ascii="Times New Roman" w:hAnsi="Times New Roman" w:eastAsia="宋体" w:cs="Times New Roman"/>
                <w:szCs w:val="21"/>
              </w:rPr>
              <w:t>（4）转换器：内定位≥5 孔物镜转换器</w:t>
            </w:r>
          </w:p>
          <w:p w14:paraId="7775FCB9">
            <w:pPr>
              <w:jc w:val="left"/>
              <w:rPr>
                <w:rFonts w:ascii="Times New Roman" w:hAnsi="Times New Roman" w:eastAsia="宋体" w:cs="Times New Roman"/>
                <w:szCs w:val="21"/>
              </w:rPr>
            </w:pPr>
            <w:r>
              <w:rPr>
                <w:rFonts w:ascii="Times New Roman" w:hAnsi="Times New Roman" w:eastAsia="宋体" w:cs="Times New Roman"/>
                <w:szCs w:val="21"/>
              </w:rPr>
              <w:t>（5）物镜：超长工作距无限远平场消色差相衬物镜≥4X、10X、20X、40X</w:t>
            </w:r>
          </w:p>
          <w:p w14:paraId="046D4E68">
            <w:pPr>
              <w:jc w:val="left"/>
              <w:rPr>
                <w:rFonts w:ascii="Times New Roman" w:hAnsi="Times New Roman" w:eastAsia="宋体" w:cs="Times New Roman"/>
                <w:szCs w:val="21"/>
              </w:rPr>
            </w:pPr>
            <w:r>
              <w:rPr>
                <w:rFonts w:ascii="Times New Roman" w:hAnsi="Times New Roman" w:eastAsia="宋体" w:cs="Times New Roman"/>
                <w:szCs w:val="21"/>
              </w:rPr>
              <w:t>（6）调焦机构：粗微同轴调焦，带粗调松紧调节装置</w:t>
            </w:r>
          </w:p>
          <w:p w14:paraId="70658F5F">
            <w:pPr>
              <w:jc w:val="left"/>
              <w:rPr>
                <w:rFonts w:ascii="Times New Roman" w:hAnsi="Times New Roman" w:eastAsia="宋体" w:cs="Times New Roman"/>
                <w:szCs w:val="21"/>
              </w:rPr>
            </w:pPr>
            <w:r>
              <w:rPr>
                <w:rFonts w:ascii="Times New Roman" w:hAnsi="Times New Roman" w:eastAsia="宋体" w:cs="Times New Roman"/>
                <w:szCs w:val="21"/>
              </w:rPr>
              <w:t>（7）载物台：固定式平台，侧向位移≤0.01mm，位移不重复性≤0.002mm</w:t>
            </w:r>
          </w:p>
          <w:p w14:paraId="033A1412">
            <w:pPr>
              <w:jc w:val="left"/>
              <w:rPr>
                <w:rFonts w:ascii="Times New Roman" w:hAnsi="Times New Roman" w:eastAsia="宋体" w:cs="Times New Roman"/>
                <w:szCs w:val="21"/>
              </w:rPr>
            </w:pPr>
            <w:r>
              <w:rPr>
                <w:rFonts w:ascii="Times New Roman" w:hAnsi="Times New Roman" w:eastAsia="宋体" w:cs="Times New Roman"/>
                <w:szCs w:val="21"/>
              </w:rPr>
              <w:t>（8）照明装置：外置宽电压变压器，带透射光亮度指示、ECO 红外感应节能功能</w:t>
            </w:r>
          </w:p>
          <w:p w14:paraId="6620A105">
            <w:pPr>
              <w:jc w:val="left"/>
              <w:rPr>
                <w:rFonts w:ascii="Times New Roman" w:hAnsi="Times New Roman" w:eastAsia="宋体" w:cs="Times New Roman"/>
                <w:szCs w:val="21"/>
              </w:rPr>
            </w:pPr>
            <w:r>
              <w:rPr>
                <w:rFonts w:ascii="Times New Roman" w:hAnsi="Times New Roman" w:eastAsia="宋体" w:cs="Times New Roman"/>
                <w:szCs w:val="21"/>
              </w:rPr>
              <w:t>（9）机械标本≥5mm×5mm 移动范围内离焦量≤0.008mm</w:t>
            </w:r>
          </w:p>
          <w:p w14:paraId="323ADDE4">
            <w:pPr>
              <w:jc w:val="left"/>
              <w:rPr>
                <w:rFonts w:ascii="Times New Roman" w:hAnsi="Times New Roman" w:eastAsia="宋体" w:cs="Times New Roman"/>
                <w:szCs w:val="21"/>
              </w:rPr>
            </w:pPr>
            <w:r>
              <w:rPr>
                <w:rFonts w:ascii="Times New Roman" w:hAnsi="Times New Roman" w:eastAsia="宋体" w:cs="Times New Roman"/>
                <w:szCs w:val="21"/>
              </w:rPr>
              <w:t>（10）成像系统：≥830万像素</w:t>
            </w:r>
          </w:p>
        </w:tc>
        <w:tc>
          <w:tcPr>
            <w:tcW w:w="661" w:type="dxa"/>
            <w:vAlign w:val="center"/>
          </w:tcPr>
          <w:p w14:paraId="175F4DE5">
            <w:pPr>
              <w:jc w:val="left"/>
              <w:rPr>
                <w:rFonts w:ascii="Times New Roman" w:hAnsi="Times New Roman" w:eastAsia="宋体" w:cs="Times New Roman"/>
                <w:szCs w:val="21"/>
              </w:rPr>
            </w:pPr>
          </w:p>
        </w:tc>
        <w:tc>
          <w:tcPr>
            <w:tcW w:w="522" w:type="dxa"/>
            <w:vAlign w:val="center"/>
          </w:tcPr>
          <w:p w14:paraId="3E3C0A68">
            <w:pPr>
              <w:jc w:val="left"/>
              <w:rPr>
                <w:rFonts w:ascii="Times New Roman" w:hAnsi="Times New Roman" w:eastAsia="宋体" w:cs="Times New Roman"/>
                <w:szCs w:val="21"/>
              </w:rPr>
            </w:pPr>
          </w:p>
        </w:tc>
      </w:tr>
      <w:tr w14:paraId="3313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9" w:type="dxa"/>
            <w:vAlign w:val="center"/>
          </w:tcPr>
          <w:p w14:paraId="72F75711">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4</w:t>
            </w:r>
          </w:p>
        </w:tc>
        <w:tc>
          <w:tcPr>
            <w:tcW w:w="1045" w:type="dxa"/>
            <w:vAlign w:val="center"/>
          </w:tcPr>
          <w:p w14:paraId="15D42DAD">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倒置荧光显微镜</w:t>
            </w:r>
          </w:p>
        </w:tc>
        <w:tc>
          <w:tcPr>
            <w:tcW w:w="4306" w:type="dxa"/>
            <w:vAlign w:val="center"/>
          </w:tcPr>
          <w:p w14:paraId="0037B2C1">
            <w:pPr>
              <w:jc w:val="left"/>
              <w:rPr>
                <w:rFonts w:ascii="Times New Roman" w:hAnsi="Times New Roman" w:eastAsia="宋体" w:cs="Times New Roman"/>
                <w:szCs w:val="21"/>
              </w:rPr>
            </w:pPr>
            <w:r>
              <w:rPr>
                <w:rFonts w:ascii="Times New Roman" w:hAnsi="Times New Roman" w:eastAsia="宋体" w:cs="Times New Roman"/>
                <w:szCs w:val="21"/>
              </w:rPr>
              <w:t>（1）一体化防震机身，支持明场、荧光、相差、数字成像等观察方式</w:t>
            </w:r>
          </w:p>
          <w:p w14:paraId="73D135E1">
            <w:pPr>
              <w:jc w:val="left"/>
              <w:rPr>
                <w:rFonts w:ascii="Times New Roman" w:hAnsi="Times New Roman" w:eastAsia="宋体" w:cs="Times New Roman"/>
                <w:szCs w:val="21"/>
              </w:rPr>
            </w:pPr>
            <w:r>
              <w:rPr>
                <w:rFonts w:ascii="Times New Roman" w:hAnsi="Times New Roman" w:eastAsia="宋体" w:cs="Times New Roman"/>
                <w:szCs w:val="21"/>
              </w:rPr>
              <w:t>（2）无限远校正光学系统，国际标准齐焦距离</w:t>
            </w:r>
          </w:p>
          <w:p w14:paraId="3C0CF98B">
            <w:pPr>
              <w:jc w:val="left"/>
              <w:rPr>
                <w:rFonts w:ascii="Times New Roman" w:hAnsi="Times New Roman" w:eastAsia="宋体" w:cs="Times New Roman"/>
                <w:szCs w:val="21"/>
              </w:rPr>
            </w:pPr>
            <w:r>
              <w:rPr>
                <w:rFonts w:ascii="Times New Roman" w:hAnsi="Times New Roman" w:eastAsia="宋体" w:cs="Times New Roman"/>
                <w:szCs w:val="21"/>
              </w:rPr>
              <w:t>（3）≥4 位物镜转换器</w:t>
            </w:r>
          </w:p>
          <w:p w14:paraId="58CE14A6">
            <w:pPr>
              <w:jc w:val="left"/>
              <w:rPr>
                <w:rFonts w:ascii="Times New Roman" w:hAnsi="Times New Roman" w:eastAsia="宋体" w:cs="Times New Roman"/>
                <w:szCs w:val="21"/>
              </w:rPr>
            </w:pPr>
            <w:r>
              <w:rPr>
                <w:rFonts w:ascii="Times New Roman" w:hAnsi="Times New Roman" w:eastAsia="宋体" w:cs="Times New Roman"/>
                <w:szCs w:val="21"/>
              </w:rPr>
              <w:t>（4）粗微调同轴调节，张力可调，带限位装置，最小步进 1μm</w:t>
            </w:r>
          </w:p>
          <w:p w14:paraId="74FB0542">
            <w:pPr>
              <w:jc w:val="left"/>
              <w:rPr>
                <w:rFonts w:ascii="Times New Roman" w:hAnsi="Times New Roman" w:eastAsia="宋体" w:cs="Times New Roman"/>
                <w:szCs w:val="21"/>
              </w:rPr>
            </w:pPr>
            <w:r>
              <w:rPr>
                <w:rFonts w:ascii="Times New Roman" w:hAnsi="Times New Roman" w:eastAsia="宋体" w:cs="Times New Roman"/>
                <w:szCs w:val="21"/>
              </w:rPr>
              <w:t>（5）超长寿命LED冷光源，使用寿命≥40000小时，无细胞热损伤</w:t>
            </w:r>
          </w:p>
          <w:p w14:paraId="5D05B6D3">
            <w:pPr>
              <w:jc w:val="left"/>
              <w:rPr>
                <w:rFonts w:ascii="Times New Roman" w:hAnsi="Times New Roman" w:eastAsia="宋体" w:cs="Times New Roman"/>
                <w:szCs w:val="21"/>
              </w:rPr>
            </w:pPr>
            <w:r>
              <w:rPr>
                <w:rFonts w:ascii="Times New Roman" w:hAnsi="Times New Roman" w:eastAsia="宋体" w:cs="Times New Roman"/>
                <w:szCs w:val="21"/>
              </w:rPr>
              <w:t>（6）右手低位同轴驱动高抗磨损陶瓷涂层载物台</w:t>
            </w:r>
          </w:p>
          <w:p w14:paraId="3F43B49D">
            <w:pPr>
              <w:jc w:val="left"/>
              <w:rPr>
                <w:rFonts w:ascii="Times New Roman" w:hAnsi="Times New Roman" w:eastAsia="宋体" w:cs="Times New Roman"/>
                <w:szCs w:val="21"/>
              </w:rPr>
            </w:pPr>
            <w:r>
              <w:rPr>
                <w:rFonts w:ascii="Times New Roman" w:hAnsi="Times New Roman" w:eastAsia="宋体" w:cs="Times New Roman"/>
                <w:szCs w:val="21"/>
              </w:rPr>
              <w:t>（7）宽视野侧边三目镜筒</w:t>
            </w:r>
          </w:p>
          <w:p w14:paraId="2374BD75">
            <w:pPr>
              <w:jc w:val="left"/>
              <w:rPr>
                <w:rFonts w:ascii="Times New Roman" w:hAnsi="Times New Roman" w:eastAsia="宋体" w:cs="Times New Roman"/>
                <w:szCs w:val="21"/>
              </w:rPr>
            </w:pPr>
            <w:r>
              <w:rPr>
                <w:rFonts w:ascii="Times New Roman" w:hAnsi="Times New Roman" w:eastAsia="宋体" w:cs="Times New Roman"/>
                <w:szCs w:val="21"/>
              </w:rPr>
              <w:t>（8）超长工作距离聚光镜，N.A.≥0.3，工作距离≥80mm</w:t>
            </w:r>
          </w:p>
          <w:p w14:paraId="509503D9">
            <w:pPr>
              <w:jc w:val="left"/>
              <w:rPr>
                <w:rFonts w:ascii="Times New Roman" w:hAnsi="Times New Roman" w:eastAsia="宋体" w:cs="Times New Roman"/>
                <w:szCs w:val="21"/>
              </w:rPr>
            </w:pPr>
            <w:r>
              <w:rPr>
                <w:rFonts w:ascii="Times New Roman" w:hAnsi="Times New Roman" w:eastAsia="宋体" w:cs="Times New Roman"/>
                <w:szCs w:val="21"/>
              </w:rPr>
              <w:t>（9）10X 宽视野目镜</w:t>
            </w:r>
          </w:p>
          <w:p w14:paraId="7FC18D92">
            <w:pPr>
              <w:jc w:val="left"/>
              <w:rPr>
                <w:rFonts w:ascii="Times New Roman" w:hAnsi="Times New Roman" w:eastAsia="宋体" w:cs="Times New Roman"/>
                <w:szCs w:val="21"/>
              </w:rPr>
            </w:pPr>
            <w:r>
              <w:rPr>
                <w:rFonts w:ascii="Times New Roman" w:hAnsi="Times New Roman" w:eastAsia="宋体" w:cs="Times New Roman"/>
                <w:szCs w:val="21"/>
              </w:rPr>
              <w:t>（10）相差物镜 4x、10x，荧光相差物镜 20x、40x</w:t>
            </w:r>
          </w:p>
          <w:p w14:paraId="3F610FE7">
            <w:pPr>
              <w:jc w:val="left"/>
              <w:rPr>
                <w:rFonts w:ascii="Times New Roman" w:hAnsi="Times New Roman" w:eastAsia="宋体" w:cs="Times New Roman"/>
                <w:szCs w:val="21"/>
              </w:rPr>
            </w:pPr>
            <w:r>
              <w:rPr>
                <w:rFonts w:ascii="Times New Roman" w:hAnsi="Times New Roman" w:eastAsia="宋体" w:cs="Times New Roman"/>
                <w:szCs w:val="21"/>
              </w:rPr>
              <w:t>（11）滑块式荧光模块，标配红绿蓝三色荧光滤块</w:t>
            </w:r>
          </w:p>
          <w:p w14:paraId="09ABE01F">
            <w:pPr>
              <w:jc w:val="left"/>
              <w:rPr>
                <w:rFonts w:ascii="Times New Roman" w:hAnsi="Times New Roman" w:eastAsia="宋体" w:cs="Times New Roman"/>
                <w:szCs w:val="21"/>
              </w:rPr>
            </w:pPr>
            <w:r>
              <w:rPr>
                <w:rFonts w:ascii="Times New Roman" w:hAnsi="Times New Roman" w:eastAsia="宋体" w:cs="Times New Roman"/>
                <w:szCs w:val="21"/>
              </w:rPr>
              <w:t>（12）120W 同品牌长寿命荧光光源，单支灯泡寿命≥2000h，光纤接入</w:t>
            </w:r>
          </w:p>
          <w:p w14:paraId="07E8FB20">
            <w:pPr>
              <w:jc w:val="left"/>
              <w:rPr>
                <w:rFonts w:ascii="Times New Roman" w:hAnsi="Times New Roman" w:eastAsia="宋体" w:cs="Times New Roman"/>
                <w:szCs w:val="21"/>
              </w:rPr>
            </w:pPr>
            <w:r>
              <w:rPr>
                <w:rFonts w:ascii="Times New Roman" w:hAnsi="Times New Roman" w:eastAsia="宋体" w:cs="Times New Roman"/>
                <w:szCs w:val="21"/>
              </w:rPr>
              <w:t>（13）同品牌显微专用摄像头，像素分辨率≥3072×2048</w:t>
            </w:r>
          </w:p>
        </w:tc>
        <w:tc>
          <w:tcPr>
            <w:tcW w:w="661" w:type="dxa"/>
            <w:vAlign w:val="center"/>
          </w:tcPr>
          <w:p w14:paraId="0FF6B3B9">
            <w:pPr>
              <w:jc w:val="left"/>
              <w:rPr>
                <w:rFonts w:ascii="Times New Roman" w:hAnsi="Times New Roman" w:eastAsia="宋体" w:cs="Times New Roman"/>
                <w:szCs w:val="21"/>
              </w:rPr>
            </w:pPr>
          </w:p>
        </w:tc>
        <w:tc>
          <w:tcPr>
            <w:tcW w:w="522" w:type="dxa"/>
            <w:vAlign w:val="center"/>
          </w:tcPr>
          <w:p w14:paraId="0659836C">
            <w:pPr>
              <w:jc w:val="left"/>
              <w:rPr>
                <w:rFonts w:ascii="Times New Roman" w:hAnsi="Times New Roman" w:eastAsia="宋体" w:cs="Times New Roman"/>
                <w:szCs w:val="21"/>
              </w:rPr>
            </w:pPr>
          </w:p>
        </w:tc>
      </w:tr>
      <w:tr w14:paraId="0EEC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9" w:type="dxa"/>
            <w:vAlign w:val="center"/>
          </w:tcPr>
          <w:p w14:paraId="02CA623E">
            <w:pPr>
              <w:widowControl/>
              <w:jc w:val="left"/>
              <w:textAlignment w:val="center"/>
              <w:rPr>
                <w:rFonts w:ascii="Times New Roman" w:hAnsi="Times New Roman" w:eastAsia="宋体" w:cs="Times New Roman"/>
                <w:szCs w:val="21"/>
              </w:rPr>
            </w:pPr>
            <w:r>
              <w:rPr>
                <w:rFonts w:ascii="Times New Roman" w:hAnsi="Times New Roman" w:eastAsia="宋体" w:cs="Times New Roman"/>
                <w:szCs w:val="21"/>
              </w:rPr>
              <w:t>5</w:t>
            </w:r>
          </w:p>
        </w:tc>
        <w:tc>
          <w:tcPr>
            <w:tcW w:w="1045" w:type="dxa"/>
            <w:vAlign w:val="center"/>
          </w:tcPr>
          <w:p w14:paraId="2927A124">
            <w:pPr>
              <w:widowControl/>
              <w:jc w:val="left"/>
              <w:textAlignment w:val="center"/>
              <w:rPr>
                <w:rFonts w:ascii="Times New Roman" w:hAnsi="Times New Roman" w:eastAsia="宋体" w:cs="Times New Roman"/>
                <w:szCs w:val="21"/>
              </w:rPr>
            </w:pPr>
            <w:r>
              <w:rPr>
                <w:rFonts w:ascii="Times New Roman" w:hAnsi="Times New Roman" w:eastAsia="宋体" w:cs="Times New Roman"/>
                <w:color w:val="000000" w:themeColor="text1"/>
                <w:kern w:val="0"/>
                <w:szCs w:val="21"/>
                <w:lang w:bidi="ar"/>
                <w14:textFill>
                  <w14:solidFill>
                    <w14:schemeClr w14:val="tx1"/>
                  </w14:solidFill>
                </w14:textFill>
              </w:rPr>
              <w:t>高灵敏度激光共聚焦显微镜</w:t>
            </w:r>
          </w:p>
        </w:tc>
        <w:tc>
          <w:tcPr>
            <w:tcW w:w="4306" w:type="dxa"/>
            <w:vAlign w:val="center"/>
          </w:tcPr>
          <w:p w14:paraId="6723D536">
            <w:pPr>
              <w:pStyle w:val="36"/>
              <w:numPr>
                <w:ilvl w:val="0"/>
                <w:numId w:val="1"/>
              </w:numPr>
              <w:textAlignment w:val="baseline"/>
              <w:rPr>
                <w:rStyle w:val="37"/>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color w:val="000000" w:themeColor="text1"/>
                <w:sz w:val="21"/>
                <w:szCs w:val="21"/>
                <w14:textFill>
                  <w14:solidFill>
                    <w14:schemeClr w14:val="tx1"/>
                  </w14:solidFill>
                </w14:textFill>
              </w:rPr>
              <w:t>激光器覆盖可见光及紫外光，各激光器单独分立；独立AOTF。激光器按如下谱线配置：</w:t>
            </w:r>
          </w:p>
          <w:p w14:paraId="64B761E4">
            <w:pPr>
              <w:pStyle w:val="36"/>
              <w:numPr>
                <w:ilvl w:val="0"/>
                <w:numId w:val="1"/>
              </w:numPr>
              <w:textAlignment w:val="baseline"/>
              <w:rPr>
                <w:rStyle w:val="37"/>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color w:val="000000" w:themeColor="text1"/>
                <w:sz w:val="21"/>
                <w:szCs w:val="21"/>
                <w14:textFill>
                  <w14:solidFill>
                    <w14:schemeClr w14:val="tx1"/>
                  </w14:solidFill>
                </w14:textFill>
              </w:rPr>
              <w:t>405nm</w:t>
            </w:r>
            <w:bookmarkStart w:id="0" w:name="_GoBack"/>
            <w:bookmarkEnd w:id="0"/>
            <w:r>
              <w:rPr>
                <w:rStyle w:val="37"/>
                <w:rFonts w:ascii="Times New Roman" w:hAnsi="Times New Roman" w:cs="Times New Roman"/>
                <w:color w:val="000000" w:themeColor="text1"/>
                <w:sz w:val="21"/>
                <w:szCs w:val="21"/>
                <w14:textFill>
                  <w14:solidFill>
                    <w14:schemeClr w14:val="tx1"/>
                  </w14:solidFill>
                </w14:textFill>
              </w:rPr>
              <w:t xml:space="preserve">   功率≥50mw</w:t>
            </w:r>
          </w:p>
          <w:p w14:paraId="6A334988">
            <w:pPr>
              <w:pStyle w:val="36"/>
              <w:numPr>
                <w:ilvl w:val="0"/>
                <w:numId w:val="1"/>
              </w:numPr>
              <w:textAlignment w:val="baseline"/>
              <w:rPr>
                <w:rStyle w:val="37"/>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color w:val="000000" w:themeColor="text1"/>
                <w:sz w:val="21"/>
                <w:szCs w:val="21"/>
                <w14:textFill>
                  <w14:solidFill>
                    <w14:schemeClr w14:val="tx1"/>
                  </w14:solidFill>
                </w14:textFill>
              </w:rPr>
              <w:t>488nm   功率≥20mw</w:t>
            </w:r>
          </w:p>
          <w:p w14:paraId="4C98E137">
            <w:pPr>
              <w:pStyle w:val="36"/>
              <w:numPr>
                <w:ilvl w:val="0"/>
                <w:numId w:val="1"/>
              </w:numPr>
              <w:textAlignment w:val="baseline"/>
              <w:rPr>
                <w:rStyle w:val="37"/>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color w:val="000000" w:themeColor="text1"/>
                <w:sz w:val="21"/>
                <w:szCs w:val="21"/>
                <w14:textFill>
                  <w14:solidFill>
                    <w14:schemeClr w14:val="tx1"/>
                  </w14:solidFill>
                </w14:textFill>
              </w:rPr>
              <w:t>561nm   功率≥20mw</w:t>
            </w:r>
          </w:p>
          <w:p w14:paraId="2004C9A8">
            <w:pPr>
              <w:pStyle w:val="36"/>
              <w:numPr>
                <w:ilvl w:val="0"/>
                <w:numId w:val="1"/>
              </w:numPr>
              <w:textAlignment w:val="baseline"/>
              <w:rPr>
                <w:rStyle w:val="37"/>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color w:val="000000" w:themeColor="text1"/>
                <w:sz w:val="21"/>
                <w:szCs w:val="21"/>
                <w14:textFill>
                  <w14:solidFill>
                    <w14:schemeClr w14:val="tx1"/>
                  </w14:solidFill>
                </w14:textFill>
              </w:rPr>
              <w:t>638nm   功率≥30mw</w:t>
            </w:r>
          </w:p>
          <w:p w14:paraId="72B9013A">
            <w:pPr>
              <w:pStyle w:val="36"/>
              <w:numPr>
                <w:ilvl w:val="0"/>
                <w:numId w:val="1"/>
              </w:numPr>
              <w:textAlignment w:val="baseline"/>
              <w:rPr>
                <w:rStyle w:val="37"/>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color w:val="000000" w:themeColor="text1"/>
                <w:sz w:val="21"/>
                <w:szCs w:val="21"/>
                <w14:textFill>
                  <w14:solidFill>
                    <w14:schemeClr w14:val="tx1"/>
                  </w14:solidFill>
                </w14:textFill>
              </w:rPr>
              <w:t>≥4个均可以进行光谱扫描的内置独立荧光通道，≥1个明场、暗场、DIC、相差效果良好的透射光通道，可同时四染+明场定位及分析。光谱扫描和荧光光谱分离功能，可通过单次扫描采集荧光光谱分布曲线，并对荧光光谱进行分析和分离不同标记的信号，可以解决同时使用多种荧光标记时激发光或发射光波长重叠造成的串色问题；</w:t>
            </w:r>
          </w:p>
          <w:p w14:paraId="0D89322B">
            <w:pPr>
              <w:pStyle w:val="36"/>
              <w:numPr>
                <w:ilvl w:val="0"/>
                <w:numId w:val="1"/>
              </w:numPr>
              <w:tabs>
                <w:tab w:val="left" w:pos="720"/>
              </w:tabs>
              <w:spacing w:before="0" w:beforeAutospacing="0" w:after="0" w:afterAutospacing="0"/>
              <w:textAlignment w:val="baseline"/>
              <w:rPr>
                <w:rStyle w:val="37"/>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color w:val="000000" w:themeColor="text1"/>
                <w:sz w:val="21"/>
                <w:szCs w:val="21"/>
                <w14:textFill>
                  <w14:solidFill>
                    <w14:schemeClr w14:val="tx1"/>
                  </w14:solidFill>
                </w14:textFill>
              </w:rPr>
              <w:t>≥4个独立荧光通道均为超高灵敏度检测器</w:t>
            </w:r>
          </w:p>
          <w:p w14:paraId="705DB9E5">
            <w:pPr>
              <w:pStyle w:val="36"/>
              <w:numPr>
                <w:ilvl w:val="0"/>
                <w:numId w:val="1"/>
              </w:numPr>
              <w:tabs>
                <w:tab w:val="left" w:pos="720"/>
              </w:tabs>
              <w:spacing w:before="0" w:beforeAutospacing="0" w:after="0" w:afterAutospacing="0"/>
              <w:textAlignment w:val="baseline"/>
              <w:rPr>
                <w:rFonts w:ascii="Times New Roman" w:hAnsi="Times New Roman" w:cs="Times New Roman"/>
                <w:color w:val="000000" w:themeColor="text1"/>
                <w:sz w:val="21"/>
                <w:szCs w:val="21"/>
                <w14:textFill>
                  <w14:solidFill>
                    <w14:schemeClr w14:val="tx1"/>
                  </w14:solidFill>
                </w14:textFill>
              </w:rPr>
            </w:pPr>
            <w:r>
              <w:rPr>
                <w:rStyle w:val="37"/>
                <w:rFonts w:ascii="Times New Roman" w:hAnsi="Times New Roman" w:cs="Times New Roman"/>
                <w:sz w:val="21"/>
                <w:szCs w:val="21"/>
              </w:rPr>
              <w:t>配置活细胞工作站</w:t>
            </w:r>
          </w:p>
        </w:tc>
        <w:tc>
          <w:tcPr>
            <w:tcW w:w="661" w:type="dxa"/>
            <w:vAlign w:val="center"/>
          </w:tcPr>
          <w:p w14:paraId="56B17289">
            <w:pPr>
              <w:jc w:val="left"/>
              <w:rPr>
                <w:rFonts w:ascii="Times New Roman" w:hAnsi="Times New Roman" w:eastAsia="宋体" w:cs="Times New Roman"/>
                <w:szCs w:val="21"/>
              </w:rPr>
            </w:pPr>
          </w:p>
        </w:tc>
        <w:tc>
          <w:tcPr>
            <w:tcW w:w="522" w:type="dxa"/>
            <w:vAlign w:val="center"/>
          </w:tcPr>
          <w:p w14:paraId="7083E4C8">
            <w:pPr>
              <w:jc w:val="left"/>
              <w:rPr>
                <w:rFonts w:ascii="Times New Roman" w:hAnsi="Times New Roman" w:eastAsia="宋体" w:cs="Times New Roman"/>
                <w:szCs w:val="21"/>
              </w:rPr>
            </w:pPr>
          </w:p>
        </w:tc>
      </w:tr>
    </w:tbl>
    <w:p w14:paraId="147B2599">
      <w:pPr>
        <w:jc w:val="left"/>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7625A"/>
    <w:multiLevelType w:val="multilevel"/>
    <w:tmpl w:val="6BD7625A"/>
    <w:lvl w:ilvl="0" w:tentative="0">
      <w:start w:val="1"/>
      <w:numFmt w:val="decimal"/>
      <w:suff w:val="space"/>
      <w:lvlText w:val="（%1）"/>
      <w:lvlJc w:val="left"/>
      <w:pPr>
        <w:ind w:left="440" w:hanging="440"/>
      </w:pPr>
      <w:rPr>
        <w:rFonts w:hint="eastAsia"/>
        <w:sz w:val="21"/>
        <w:szCs w:val="21"/>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6C"/>
    <w:rsid w:val="000C21F6"/>
    <w:rsid w:val="000F0760"/>
    <w:rsid w:val="0029529D"/>
    <w:rsid w:val="002B48FA"/>
    <w:rsid w:val="00600D75"/>
    <w:rsid w:val="00695345"/>
    <w:rsid w:val="006D07E2"/>
    <w:rsid w:val="00716649"/>
    <w:rsid w:val="00723AD4"/>
    <w:rsid w:val="00894D6C"/>
    <w:rsid w:val="009238BB"/>
    <w:rsid w:val="00B05337"/>
    <w:rsid w:val="00B275E9"/>
    <w:rsid w:val="00BA325B"/>
    <w:rsid w:val="00BC5744"/>
    <w:rsid w:val="00C76C9A"/>
    <w:rsid w:val="00E149C9"/>
    <w:rsid w:val="00E86BF4"/>
    <w:rsid w:val="0AFF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0"/>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paragraph" w:customStyle="1" w:styleId="36">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37">
    <w:name w:val="normaltextrun"/>
    <w:basedOn w:val="17"/>
    <w:qFormat/>
    <w:uiPriority w:val="0"/>
  </w:style>
  <w:style w:type="character" w:customStyle="1" w:styleId="38">
    <w:name w:val="eop"/>
    <w:basedOn w:val="17"/>
    <w:qFormat/>
    <w:uiPriority w:val="0"/>
  </w:style>
  <w:style w:type="character" w:customStyle="1" w:styleId="39">
    <w:name w:val="页眉 字符"/>
    <w:basedOn w:val="17"/>
    <w:link w:val="12"/>
    <w:qFormat/>
    <w:uiPriority w:val="99"/>
    <w:rPr>
      <w:sz w:val="18"/>
      <w:szCs w:val="18"/>
      <w14:ligatures w14:val="none"/>
    </w:rPr>
  </w:style>
  <w:style w:type="character" w:customStyle="1" w:styleId="40">
    <w:name w:val="页脚 字符"/>
    <w:basedOn w:val="17"/>
    <w:link w:val="11"/>
    <w:qFormat/>
    <w:uiPriority w:val="99"/>
    <w:rPr>
      <w:sz w:val="18"/>
      <w:szCs w:val="18"/>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1221</Words>
  <Characters>1442</Characters>
  <Lines>11</Lines>
  <Paragraphs>3</Paragraphs>
  <TotalTime>21</TotalTime>
  <ScaleCrop>false</ScaleCrop>
  <LinksUpToDate>false</LinksUpToDate>
  <CharactersWithSpaces>1471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2026-07-16T08:50:00Z</dcterms:created>
  <dc:creator>银银 吕</dc:creator>
  <cp:lastModifiedBy>可你不是我啊</cp:lastModifiedBy>
  <dcterms:modified xsi:type="dcterms:W3CDTF">2026-07-17T08:12:54Z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eyJoZGlkIjoiNGVhYjg3ZGFmY2I3MDkyYWMxYzU4N2JiMzNmNjg2YzAiLCJ1c2VySWQiOiI1MjI3MTcyODAifQ==</vt:lpwstr>
  </property>
  <property fmtid="{D5CDD505-2E9C-101B-9397-08002B2CF9AE}" pid="3" name="KSOProductBuildVer">
    <vt:lpwstr>2052-12.1.0.26895</vt:lpwstr>
  </property>
  <property fmtid="{D5CDD505-2E9C-101B-9397-08002B2CF9AE}" pid="4" name="ICV">
    <vt:lpwstr>78917CB046344CE4A0AF849CCB18A189_12</vt:lpwstr>
  </property>
</Properties>
</file>