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9228" w:type="dxa"/>
        <w:tblInd w:w="-3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4194"/>
        <w:gridCol w:w="2286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358AF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AE22B">
            <w:pPr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品目1：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25C2">
            <w:pPr>
              <w:rPr>
                <w:rFonts w:hint="default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血凝分析仪设备参数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74D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7B0EB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286D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A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功能组成：由全自动凝血分析仪及样本处理系统连接组成，样本处理系统包含（进出样模块、离心模块），实现样本检测流程自动化。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检测原理：光学凝固法、发色底物法、免疫比浊法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F2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检测项目：可开展试剂项目至少包括PT、APTT、TT、Fib、D-二聚体、FDP、AT III、狼疮抗凝物（LA）、vWF、抗Xa、凝血因子Ⅷ、凝血因子Ⅸ，上述试剂项目需具备原厂配套试剂盒，需提供配套试剂注册证确认。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7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检测速度：单模块PT≥300测试/小时，总分析速度≥1000测试/小时。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91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检测通道：单模块≥15个。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试剂位：单模块≥40个。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E8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装载功能：具备连续装载反应杯。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62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检测功能：分析仪样本针具有闭盖穿刺功能。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3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具备结果自动审核功能。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0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支持Clauss法和PT演算法检测Fib。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730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AB6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80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检测D-二聚体具备静脉血栓栓塞症（VTE）阴性排除功能。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809E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46596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8199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764E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11A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B6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常规凝血四项（PT、APTT、TT、FIB）具备国家卫生健康委临床检验中心室间质评独立分组，且PT项目参加实验室通过数量≥200家。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55B64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A743B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5342C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FC98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B86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C6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系统连接：支持与医院实验室LIS系统对接，实现数据自动传输，系统对接所产生的所以费用有成交供应商承担。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527ED2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E966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053C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B088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7BB39">
            <w:pP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品目2：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9DC6">
            <w:pP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血凝分析仪试剂参数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D903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A4495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39BA5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40FA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E18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E11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1、凝血酶原时间（PT）测定试剂盒：为江西省医保公共服务平台内产品，二类及以上医疗器械产品，满足国家最新《医疗器械分类目录》规定，适用于定量检测人血浆中的凝血酶原时间（PT）。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1.1、方法学：凝固法；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1.2、参考区间：9.0～14.0秒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1.3、重复性：CV≤5%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1.4、批间差：CV≤10%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88FB5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2E872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2EF0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505EA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65F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9B0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活化部分凝血活酶时间（APTT）测定试剂盒：为江西省医保公共服务平台内产品，二类及以上医疗器械产品，满足国家最新《医疗器械分类目录》规定，适用于定量检测人血浆中的活化部分凝血活酶时间（APTT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2.1、方法学：凝固法；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2.2、参考区间：20.0～37.0秒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2.3、重复性：CV≤5%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2.4、批间差：CV≤10%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DA83A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CD399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E4FB8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27248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1F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02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3、凝血酶时间（TT）测定试剂盒：为江西省医保公共服务平台内产品，二类及以上医疗器械产品，满足国家最新《医疗器械分类目录》规定，适用于定量检测人血浆中的凝血酶时间（TT）。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3.1、方法学：凝固法；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3.2、参考区间：10.0～25.0秒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3.3、重复性：CV≤5%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3.4、批间差：CV≤10%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7954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C5B7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1E85A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0DA52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0F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68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4、纤维蛋白原（FIB）测定试剂盒：为江西省医保公共服务平台内产品，二类及以上医疗器械产品，满足国家最新《医疗器械分类目录》规定，适用于定量检测人血浆中的纤维蛋白原（FIB）。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4.1、方法学：凝固法；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4.2、参考区间：1.5～5.0 g/L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4.3、重复性：CV≤10%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4.4、批间差：CV≤15%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8A46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07DCB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9FC7D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DF883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232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1DC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5、D-二聚体（D-Dimer）测定试剂盒：为江西省医保公共服务平台内产品，二类及以上医疗器械产品，满足国家最新《医疗器械分类目录》规定，适用于定量检测人血浆中的D-二聚体（D-Dimer）。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5.1、方法学：免疫比浊法；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5.2、参考区间：≤0.55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g/mL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5.3、重复性：CV≤15%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5.4、批间差：CV≤15%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AC135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3774D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5EB2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6AFE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83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2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6、纤维蛋白原降解产物（FDP）测定试剂盒：为江西省医保公共服务平台内产品，二类及以上医疗器械产品，满足国家最新《医疗器械分类目录》规定，适用于定量检测人血浆中的纤维蛋白原降解产物（FDP）。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6.1、方法学：免疫比浊法；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6.2、参考区间：&lt;5.0µg/mL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6.3、重复性：CV≤15%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6.4、批间差：CV≤15%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0E21F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B15F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F69F9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49FAC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67A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D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7、抗凝血酶Ⅲ（AT Ⅲ）测定试剂盒：为江西省医保公共服务平台内产品，二类及以上医疗器械产品，满足国家最新《医疗器械分类目录》规定，适用于定量检测人血浆中的抗凝血酶Ⅲ（AT Ⅲ）。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7.1、方法学：发色底物法；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7.2、参考区间：80～130%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7.3、重复性：CV≤10%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7.4、批间差：CV≤15%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7.5、试剂盒有效期：未开封试剂盒,2～8℃保存，有效期≥12个月。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C9CB6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AA1EB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7E3C9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4"/>
                <w:szCs w:val="24"/>
                <w:u w:val="none"/>
                <w:lang w:val="en-US" w:eastAsia="zh-CN"/>
              </w:rPr>
              <w:t>设备使用期间提供原厂维修保养服务，并提供该设备所需质控品和校准品，由此产生相关费用均包含在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/>
                <w:sz w:val="24"/>
                <w:szCs w:val="24"/>
                <w:u w:val="none"/>
                <w:lang w:val="en-US" w:eastAsia="zh-CN"/>
              </w:rPr>
              <w:t>本项目报价内。</w:t>
            </w:r>
          </w:p>
        </w:tc>
        <w:tc>
          <w:tcPr>
            <w:tcW w:w="2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0AA38A1C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YjI1NzI0MTcwYTc4ZjM2NmEzYjFmNTI3YzU2YjU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2FF97E94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2E6AD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C71FDD"/>
    <w:rsid w:val="73E21E46"/>
    <w:rsid w:val="73E30AB8"/>
    <w:rsid w:val="73EA2AA9"/>
    <w:rsid w:val="742C4E6F"/>
    <w:rsid w:val="74786307"/>
    <w:rsid w:val="7484173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  <w:style w:type="character" w:customStyle="1" w:styleId="23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1666</Words>
  <Characters>1918</Characters>
  <Lines>0</Lines>
  <Paragraphs>0</Paragraphs>
  <TotalTime>0</TotalTime>
  <ScaleCrop>false</ScaleCrop>
  <LinksUpToDate>false</LinksUpToDate>
  <CharactersWithSpaces>1922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shui</cp:lastModifiedBy>
  <cp:lastPrinted>2025-05-29T02:18:00Z</cp:lastPrinted>
  <dcterms:modified xsi:type="dcterms:W3CDTF">2026-07-13T07:34:09Z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8B3B32E372B54C1298B73990649E079C_13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