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48" w:type="pct"/>
        <w:tblLayout w:type="fixed"/>
        <w:tblLook w:val="04A0" w:firstRow="1" w:lastRow="0" w:firstColumn="1" w:lastColumn="0" w:noHBand="0" w:noVBand="1"/>
      </w:tblPr>
      <w:tblGrid>
        <w:gridCol w:w="660"/>
        <w:gridCol w:w="1033"/>
        <w:gridCol w:w="1212"/>
        <w:gridCol w:w="6187"/>
        <w:gridCol w:w="1554"/>
      </w:tblGrid>
      <w:tr w:rsidR="00F1011B" w14:paraId="04E8E3B3" w14:textId="77777777" w:rsidTr="0090705D">
        <w:trPr>
          <w:trHeight w:val="11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1E38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D786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9D62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3239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D42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F1011B" w14:paraId="6C543CF8" w14:textId="77777777">
        <w:trPr>
          <w:trHeight w:val="2259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AA3D8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2C9F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血清淀粉样蛋白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77B3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血清淀粉样蛋白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A(SAA)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检测试剂盒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乳胶增强免疫散射比浊法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1243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规格要求：型号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S-I 100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/200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/600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人份包装。</w:t>
            </w:r>
          </w:p>
          <w:p w14:paraId="6BC42616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用于检测人全血样本中血清淀粉样蛋白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的含量，主要作为一种非特异性炎症指标。</w:t>
            </w:r>
          </w:p>
          <w:p w14:paraId="4698495B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准确度：对具有溯源性的企业参考品进行检查，其测量结果的相对偏差应不大于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58540C87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线性：试剂盒在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(5.00~350.00)mg/L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范围内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线性相关系数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r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应不小于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0.9900</w:t>
            </w:r>
          </w:p>
          <w:p w14:paraId="2F427EEA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批内精密度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CV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≤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10.0%.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批间精密度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Rm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≤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4D405390" w14:textId="77777777" w:rsidR="00F1011B" w:rsidRDefault="0090705D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未打开的试剂盒保存于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C~8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个月。试剂开瓶后在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C~8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可稳定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天。试剂不可冰冻。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E637B" w14:textId="77777777" w:rsidR="00F1011B" w:rsidRDefault="0090705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2*100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0620535F" w14:textId="77777777">
        <w:trPr>
          <w:trHeight w:val="5393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274AD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8BF4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C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反应蛋白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(CR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P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2385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反应蛋白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(CRP)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乳胶增强免疫散射比浊法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6456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规格要求：型号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C-II  100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/200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/600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人份包装。</w:t>
            </w:r>
          </w:p>
          <w:p w14:paraId="6101FB97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用于体外定量测定人全血中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C-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反应蛋白的含量，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C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反应蛋白主要作为一种非特异性炎症指标。</w:t>
            </w:r>
          </w:p>
          <w:p w14:paraId="0D26EE75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准确度：对具有溯源性的企业参考品进行检查，其测量结果的相对偏差应不大于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1AD2FDC8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0.20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320.00mg/L</w:t>
            </w:r>
          </w:p>
          <w:p w14:paraId="5C0D572A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a)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线性相关系数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r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应不小于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0.990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29D9E1E6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(0.50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mg/L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范围内，线性绝对偏差应不大于±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1.00mg/L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(10.00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mg/L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范围内，线性相对偏差应不大于±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(100.00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320.00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mg/L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范围内，线性相对偏差应不大于±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5FBBAB90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重复性：选择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不同浓度水平的样本。各重复测试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10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次，检测结果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CV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≤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44896CC4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批间精密度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：用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3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CRP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批号试剂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盒分别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选择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不同浓度水平的样本，则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3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CRP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批号试剂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盒之间的批间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相对极差不大于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15%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24EF5854" w14:textId="77777777" w:rsidR="00F1011B" w:rsidRDefault="0090705D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未打开的试剂盒避光保存于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℃～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℃，有效期为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5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月。试剂在机应避光保存，在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℃～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℃可稳定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21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天。试剂不可冰冻。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3FCD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2*100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202DE659" w14:textId="77777777">
        <w:trPr>
          <w:trHeight w:val="840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3EAA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C3F7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降钙素原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4AE9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降钙素原检测试剂盒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量子点荧光免疫法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94F0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盒。</w:t>
            </w:r>
          </w:p>
          <w:p w14:paraId="193C8A13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用于临床体外定量检测人血清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血浆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全血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末梢血中降钙素原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(PCT)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的含量。</w:t>
            </w:r>
          </w:p>
          <w:p w14:paraId="507A3990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最低检测限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应不高于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0.020ng/mL;</w:t>
            </w:r>
          </w:p>
          <w:p w14:paraId="155CD158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(CV)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6896BE98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准确度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相对偏差不大于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6793E69E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线性范围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试剂的线性范围为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[0.020,100.000]ng/mL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，在此线性范围内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</w:p>
          <w:p w14:paraId="7DDFEA3E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a)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线性相关系数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r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0.9900;</w:t>
            </w:r>
          </w:p>
          <w:p w14:paraId="1F21CF76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b)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[0.020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10.000]ng/mL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范围内，绝对偏差不超过±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1.000 ng/mL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(10.000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100.000]ng/mL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区间内，相对偏差不超过±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2846EF04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应不大于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7E2BF173" w14:textId="77777777" w:rsidR="00F1011B" w:rsidRDefault="0090705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试剂盒于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，密封状态下避光存放，有效期为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个月，弹夹包装的检测卡开封后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&lt;80%)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天。铝箔袋开封后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C.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小时。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1D1BB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弹夹包装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4442E220" w14:textId="77777777">
        <w:trPr>
          <w:trHeight w:val="840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385FC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7B3D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97CB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白介素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检测试剂盒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量子点荧光免疫法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C17B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</w:t>
            </w:r>
          </w:p>
          <w:p w14:paraId="5560550E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用于临床体外定量检测人血清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血浆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全血中的白介素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6(IL-6)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的含量。</w:t>
            </w:r>
          </w:p>
          <w:p w14:paraId="10282F66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最低检测限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应不高于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5.00pg/mL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761EDFEA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不大于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5FBB1AF2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准确度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相对偏差不大于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16130254" w14:textId="77777777" w:rsidR="00F1011B" w:rsidRDefault="0090705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线性范围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试剂的线性范围为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[5.00,5000.00]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/mL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，在此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线性范围内：</w:t>
            </w:r>
          </w:p>
          <w:p w14:paraId="113337E5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a)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线性相关系数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r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.9900;</w:t>
            </w:r>
          </w:p>
          <w:p w14:paraId="5F49487A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b)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在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[5.00,500.00]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/mL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范围内，绝对偏差不超过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±50.00pg/mL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应不大于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[500.00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5000.00]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pg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/mL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区间内，相对偏差不超过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±15.0%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2ED2685B" w14:textId="77777777" w:rsidR="00F1011B" w:rsidRDefault="009070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7.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应不大于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20E0F24E" w14:textId="77777777" w:rsidR="00F1011B" w:rsidRDefault="009070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8.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试剂盒于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，密封状态下避光存放，有效期为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试纸条开封后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小时。弹夹包装的检测卡开封后，有效期为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742D5" w14:textId="77777777" w:rsidR="00F1011B" w:rsidRDefault="0090705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4F039E21" w14:textId="77777777" w:rsidTr="0090705D">
        <w:trPr>
          <w:trHeight w:val="840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4DF84D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A83B7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POCT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测定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用清洗液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5E5C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荧光免疫分析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仪反应杯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6A637" w14:textId="77777777" w:rsidR="00F1011B" w:rsidRDefault="0090705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荧光免疫分析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仪反应杯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仅具有仪器清洗作用，属于单独用于仪器清洗的清洗液。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7BF1E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</w:tr>
      <w:tr w:rsidR="0090705D" w14:paraId="6354EB33" w14:textId="77777777" w:rsidTr="0090705D">
        <w:trPr>
          <w:trHeight w:val="224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6593" w14:textId="77777777" w:rsidR="0090705D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DDFC" w14:textId="77777777" w:rsidR="0090705D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糖化血红蛋白测定</w:t>
            </w:r>
            <w:bookmarkStart w:id="0" w:name="_GoBack"/>
            <w:bookmarkEnd w:id="0"/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C3E6" w14:textId="77777777" w:rsidR="0090705D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糖化血红蛋白测定试剂盒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(高效液相色谱法)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D7C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H-12A洗脱液:1.5Lx1; H-12B洗脱液:250mLx1、500mLx1</w:t>
            </w:r>
          </w:p>
          <w:p w14:paraId="249B0530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用于定量检测全血中的糖化血红蛋白含量。临床上用于糖尿病的辅助诊断和血糖水平的监测。</w:t>
            </w:r>
          </w:p>
          <w:p w14:paraId="32EEDDE2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准确度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测定有证标准物质或企业参考品，测定结果的相对偏差应在±5.0%范围内。</w:t>
            </w:r>
          </w:p>
          <w:p w14:paraId="0A72D381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 xml:space="preserve">检测糖化血红蛋白样本浓度为4.00%~6.50%(20.20 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mmol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/mol~47.50mmol/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mol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 xml:space="preserve">)和9.00%~12.00%(74.87 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mmol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/mol~107.66mmol/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mol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)的样本或糖化血红蛋白质控品，重复测量结果变异系数CV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≤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1.0%。</w:t>
            </w:r>
          </w:p>
          <w:p w14:paraId="14616407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线性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糖化血红蛋白在3.00%~20.10%的检测范围内，检测结果的线性相关系数r应不小于0.9900.</w:t>
            </w:r>
          </w:p>
          <w:p w14:paraId="6B2C9DA0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变异系数(CV)应不大于2.0%。</w:t>
            </w:r>
          </w:p>
          <w:p w14:paraId="5AD588F8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本品应储存在2°C~30°C温度下，无腐蚀性气体和通风良好的室内，避免阳光直射。</w:t>
            </w:r>
          </w:p>
          <w:p w14:paraId="7C9908F3" w14:textId="77777777" w:rsidR="0090705D" w:rsidRDefault="0090705D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有效期为9个月。开瓶使用温度为10°C~35°C，开瓶后使用有效期为100天。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9071E" w14:textId="77777777" w:rsidR="0090705D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1.5L*1/盒</w:t>
            </w:r>
          </w:p>
        </w:tc>
      </w:tr>
      <w:tr w:rsidR="0090705D" w14:paraId="64D9FF44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BCB5" w14:textId="60647DC2" w:rsidR="0090705D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EEB8" w14:textId="77777777" w:rsidR="0090705D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6987C" w14:textId="77777777" w:rsidR="0090705D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糖化血红蛋白测定试剂盒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(高效液相色谱法)</w:t>
            </w: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6F9" w14:textId="77777777" w:rsidR="0090705D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5B41B" w14:textId="77777777" w:rsidR="0090705D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250ml*1/盒</w:t>
            </w:r>
          </w:p>
        </w:tc>
      </w:tr>
      <w:tr w:rsidR="00F1011B" w14:paraId="46695D6F" w14:textId="77777777" w:rsidTr="0090705D">
        <w:trPr>
          <w:trHeight w:val="16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62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DAF6" w14:textId="77777777" w:rsidR="00F1011B" w:rsidRDefault="00F1011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E34E1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糖化血红蛋白溶血剂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614D" w14:textId="77777777" w:rsidR="00F1011B" w:rsidRDefault="0090705D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H-12H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溶血剂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5.6L*1</w:t>
            </w:r>
          </w:p>
          <w:p w14:paraId="26CD17BE" w14:textId="77777777" w:rsidR="00F1011B" w:rsidRDefault="0090705D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用于糖化血红蛋白检测前血液样本处理。</w:t>
            </w:r>
          </w:p>
          <w:p w14:paraId="1ADFD967" w14:textId="77777777" w:rsidR="00F1011B" w:rsidRDefault="0090705D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本品应储存在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 xml:space="preserve">2°C~30°C 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温度下，无腐蚀性气体和通风良好的室内，避免阳光直射。有效期为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个月。开瓶使用温度为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10°C~35°C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，开瓶后使用有效期为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天。</w:t>
            </w:r>
          </w:p>
          <w:p w14:paraId="7D91A879" w14:textId="77777777" w:rsidR="00F1011B" w:rsidRDefault="00F1011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FB90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5.6L*1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</w:tr>
      <w:tr w:rsidR="00F1011B" w14:paraId="3E139A25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8E817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E4950" w14:textId="77777777" w:rsidR="00F1011B" w:rsidRDefault="00F1011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1612E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糖化血红蛋白层析柱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FA2" w14:textId="77777777" w:rsidR="00F1011B" w:rsidRDefault="0090705D"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规格要求：型号：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H3(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附过滤器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)/H6(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附过滤器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)/10(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附过滤器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)</w:t>
            </w:r>
          </w:p>
          <w:p w14:paraId="23591680" w14:textId="77777777" w:rsidR="00F1011B" w:rsidRDefault="0090705D"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与迈瑞公司的糖化血红蛋白分析仪及配套试剂配合使用，用于对人体全血样本中的糖化血红蛋白进行分离。</w:t>
            </w:r>
          </w:p>
          <w:p w14:paraId="431CE6DD" w14:textId="77777777" w:rsidR="00F1011B" w:rsidRDefault="0090705D"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本品应密封在温度为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2°C~8°C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的环境中储存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运输，在标签所示效期前使用。非密封保存时填充材料将因干燥而不能使用。不使用的时候请盖好密封塞冷藏保存，注意避免冷冻。本品使用温度为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10°C~35°C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，相对湿度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20%RH~85%RH6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BD939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1C5DAFEC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EF6AA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B7DD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血沉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90977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ESR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0373" w14:textId="77777777" w:rsidR="00F1011B" w:rsidRDefault="0090705D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规格要求：型号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ESR  1L*1/1L*4</w:t>
            </w:r>
          </w:p>
          <w:p w14:paraId="42EF70B1" w14:textId="77777777" w:rsidR="00F1011B" w:rsidRDefault="0090705D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用于检测过程中反应过程体系内待测物清洗以便后续检测的含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ESR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分析功能的仪器平台通用试剂。不单独用于仪器、检测用具及环境的清洗。</w:t>
            </w:r>
          </w:p>
          <w:p w14:paraId="6C0FA26F" w14:textId="77777777" w:rsidR="00F1011B" w:rsidRDefault="0090705D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本品应储存在温度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2°C~30°C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，相对湿度不超过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90%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，无腐蚀性气体和通风良好处，储存有效期为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年。</w:t>
            </w:r>
          </w:p>
          <w:p w14:paraId="2A2FB407" w14:textId="77777777" w:rsidR="00F1011B" w:rsidRDefault="0090705D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使用温度为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10°C~35°C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，开瓶后使用有效期为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90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F0FE2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1L*1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</w:tr>
      <w:tr w:rsidR="00F1011B" w14:paraId="74CA3E2F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13F5D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E894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3E21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IgM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抗体检测试剂盒（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量子点荧光免疫层析法）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0327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盒。</w:t>
            </w:r>
          </w:p>
          <w:p w14:paraId="202C7443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用于体外定性检测人血清、血浆和静脉全血中的肺炎支原体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抗体。结合临床和其他实验室指标，用于肺炎支原体感染的辅助诊断。</w:t>
            </w:r>
          </w:p>
          <w:p w14:paraId="57C463A8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最低检测限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检测企业最低检测限参考品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S1-S4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，检出结果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S1-S3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均为肺炎支原体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1gM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抗体阳性，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为肺炎支原体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1gM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抗体阴性。</w:t>
            </w:r>
          </w:p>
          <w:p w14:paraId="2A4DE0E5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阳性参考品符合率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用企业阳性参考品进行检测，检出结果均为肺炎支原体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抗体阳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性。</w:t>
            </w:r>
          </w:p>
          <w:p w14:paraId="37156D74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阴性参考品符合率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用企业阴性参考品进行检测，检出结果均为肺炎支原体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IgM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抗体阴性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4B51C8BA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用企业重复性参考品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进行检测，检出结果均为支原体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lgM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抗体阳性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，且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61FA674D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批间精密度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取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个批号试剂盒，对企业重复性参考品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进行检测，检出结果均为肺炎支原体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lgM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抗体阳性，且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(CV)≤20.0%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1BC78A17" w14:textId="77777777" w:rsidR="00F1011B" w:rsidRDefault="0090705D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试剂盒于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个月。密封状态下存放。通用包装的检测卡开封后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小时。弹夹包装的检测卡开封后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&lt;85%)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，机载有效期为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4997F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19EACEA5" w14:textId="77777777" w:rsidTr="0090705D">
        <w:trPr>
          <w:trHeight w:val="977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02D4C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789C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F04F0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IgG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抗体检测试剂盒（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量子点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荧光免疫层析法）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A67F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盒。</w:t>
            </w:r>
          </w:p>
          <w:p w14:paraId="1D4791B6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用于体外定性检测人血清、血浆和静脉全血中的肺炎支原体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Ig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G</w:t>
            </w:r>
            <w:proofErr w:type="spell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抗体。结合临床和其他实验室指标，用于肺炎支原体感染的辅助诊断。</w:t>
            </w:r>
          </w:p>
          <w:p w14:paraId="1FB61222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用企业重复性参考品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CV1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CV2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进行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次检测，检出结果均为肺炎支原体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1gG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抗体阳性，且变异系数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(CV)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7925C6B8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批间差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取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批不同批号的检测卡，分别对企业重复性参考品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CV1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CV2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进行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次重复测定，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批试剂检测结果均为肺炎支原体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1gG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抗体阳性，且相对极差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(R)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不大于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15.0%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3EBA45C1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阳性符合率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用企业阳性参考品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PC01~PC10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进行检测，检出结果均为肺炎支原体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lgG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抗体阳性。</w:t>
            </w:r>
          </w:p>
          <w:p w14:paraId="00F38B60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阴性符合率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用企业阴性参考品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NC01~NC10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进行检测，检出结果均为肺炎支原体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lgG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抗体阴性。</w:t>
            </w:r>
          </w:p>
          <w:p w14:paraId="661D0977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最低检出限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</w:t>
            </w:r>
          </w:p>
          <w:p w14:paraId="5D166328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用企业最低检出限参考品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S1-S4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进行检测，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S1~S3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检出结果为肺炎支原体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1gG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抗体阳性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;S4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检出结果为肺炎支原体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1gG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抗体阴性。</w:t>
            </w:r>
          </w:p>
          <w:p w14:paraId="4825763B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将滴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度为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1:640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的肺炎支原体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1gG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抗体阳性样本用阴性样本梯度稀释，将不低于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95%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阳性检出率的稀释水平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1:80.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作为本试剂盒的最低检出限。</w:t>
            </w:r>
          </w:p>
          <w:p w14:paraId="2216F2E0" w14:textId="77777777" w:rsidR="00F1011B" w:rsidRDefault="0090705D">
            <w:pPr>
              <w:widowControl/>
              <w:ind w:firstLineChars="100" w:firstLine="220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采用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EP17-A2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的方法评估本产品最低可准确检出的浓度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3.00RU/mL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6DD806DF" w14:textId="77777777" w:rsidR="00F1011B" w:rsidRDefault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线性范围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:[3.00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200.00]RU/mL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，在此线性范围内，线性相关系数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r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0.9900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。</w:t>
            </w:r>
          </w:p>
          <w:p w14:paraId="11C59456" w14:textId="5865AC19" w:rsidR="00F1011B" w:rsidRDefault="0090705D" w:rsidP="0090705D">
            <w:pPr>
              <w:widowControl/>
              <w:numPr>
                <w:ilvl w:val="0"/>
                <w:numId w:val="10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试剂盒于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个月。密封状态下存放。通用包装的检测卡开封后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小时。弹夹包装的检测卡开封后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&lt;85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%)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，机载有效期为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B63B0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56FF9BA6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78ADA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B1B0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呼吸道合胞病毒抗原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7E7DE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呼吸道合胞病毒抗原检测试剂盒（量子点荧光免疫层析法）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1458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盒。</w:t>
            </w:r>
          </w:p>
          <w:p w14:paraId="1F906C0D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盒用于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临床体外定性检测人口咽拭子中呼吸道合胞病毒抗原。结合临床和其他实验室指标，用于呼吸道合胞病毒感染的辅助诊断。</w:t>
            </w:r>
          </w:p>
          <w:p w14:paraId="2D4ED3EB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最低检测限参考品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检测企业最低检测限参考品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S1-S6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，检测结果应为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:S1-S4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均为阳性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;S5-S6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不作要求。</w:t>
            </w:r>
          </w:p>
          <w:p w14:paraId="4609E16D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阳性参考品符合率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检测企业阳性参考品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PC01-PC04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，检测结果应均为阳性，符合率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2EAD5612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阴性参考品符合率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检测企业阴性参考品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NC01-NC10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，检测结果应均为阴性，符合率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64D0CDD7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对企业重复性参考品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分别重复检测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lastRenderedPageBreak/>
              <w:t>检测结果均为阳性，且变异系数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2DD7E48C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批间精密度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取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个批号试剂盒，对企业重复性参考品进行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次重复检测。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CV1-CV2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参考品呈阳性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，且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(CV)≤20.0%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67060173" w14:textId="77777777" w:rsidR="00F1011B" w:rsidRDefault="0090705D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试剂盒于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储存，有效期为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个月。密封状态下存放。通用包装的检测卡开封后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小时。弹夹包装的检测卡开封后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10~30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&lt;8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机载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有效期为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D4AD0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F1011B" w14:paraId="009CF077" w14:textId="77777777" w:rsidTr="0090705D">
        <w:trPr>
          <w:trHeight w:val="8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8E9E1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C556" w14:textId="77777777" w:rsidR="00F1011B" w:rsidRDefault="0090705D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甲型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乙型流感病毒抗原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测定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36E17" w14:textId="77777777" w:rsidR="00F1011B" w:rsidRDefault="009070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甲型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乙型流感病毒抗原检测试剂盒（胶体金法）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CFB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通用包装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:10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弹夹包装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:20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盒。</w:t>
            </w:r>
          </w:p>
          <w:p w14:paraId="096EFA4D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本产品用于临床体外定性检测人口咽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拭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子样本中的甲型流感病毒抗原及乙型流感病毒抗原。结合临床和其他实验室指标，用于甲型流感和乙型流感病毒感染的辅助诊断。</w:t>
            </w:r>
          </w:p>
          <w:p w14:paraId="194D60D4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最低检出限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检测国家最低检出限参考品，应符合相应规定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或检测企业最低检出限参考品，结果应为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:S1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为甲型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流感病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毒抗原阳性、乙型流感病毒抗原阴性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;S3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S4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为乙型流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病毒抗原阳性、甲型流感病毒抗原阴性。</w:t>
            </w:r>
          </w:p>
          <w:p w14:paraId="1867E574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阳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检测国家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阳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性参考品，应符合相应规定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或检测企业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阳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性参考品，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结果应为：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PC01~PC04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乙型流病毒抗原阳性、甲型流感病毒抗原阴性。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PC05~PC10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甲型流感病毒抗原阳性、乙型流感病毒抗原阴性。</w:t>
            </w:r>
          </w:p>
          <w:p w14:paraId="040DD0DD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阴性参考品符合率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检测国家阴性参考品，应符合相应规定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或检测企业阴性参考品，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NC01-NC10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甲型流感病毒和乙型流感病毒抗原均为阴性。</w:t>
            </w:r>
          </w:p>
          <w:p w14:paraId="08494525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重复性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检测国家重复性参考品，应符合相应规定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或检测企业重复性参考品，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CV1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为甲型流感病毒抗原阳性、乙型流感病毒抗原阴性，且甲型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流感病毒抗原的变异系数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为乙型流感病毒抗原阳性、甲型流感病毒抗原阴性，且乙型流感病毒抗原的变异系数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为甲型流感病毒抗原阳性、乙型流感病毒抗原阴性，且甲型流感病毒抗原的变异系数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为乙型流感病毒抗原阳性、甲型流感病毒抗原阴性，且乙型流感病毒抗原的变异系数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19E6D416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批间精密度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取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个批号试剂盒，检测国家重复性参考品，结果应符合相应要求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;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或检测企业重复性参考品，结果应为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:CV1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次结果为甲型流感病毒抗原阳性、乙型流感病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毒抗原阴性，且甲型流感病毒抗原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(CV)≤15.0%;CV2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次结果为乙型流感病毒抗原阳性、甲型流感病毒抗原阴性，且乙型流感病毒抗原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次结果为甲型流感病毒抗原阳性、乙型流感病毒抗原阴性，且甲型流感病毒抗原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(CV)≤15.0%;CV4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检测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次结果为乙型流感病毒抗原阳性、甲型流感病毒抗原阴性，且乙型流感病毒抗原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个批号试剂</w:t>
            </w:r>
            <w:proofErr w:type="gramStart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盒之间批间</w:t>
            </w:r>
            <w:proofErr w:type="gramEnd"/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变异系数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(CV)≤15.0%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。</w:t>
            </w:r>
          </w:p>
          <w:p w14:paraId="22885257" w14:textId="77777777" w:rsidR="00F1011B" w:rsidRDefault="0090705D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lastRenderedPageBreak/>
              <w:t>试剂盒于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18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个月。密封状态下存放，通用包装的检测卡开封后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4~30°C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&lt;65%)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小时。弹夹包装的检测卡开封后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(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环境温度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10~30°C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，环境湿度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&lt;85%)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，机载有效期为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天。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7582B" w14:textId="77777777" w:rsidR="00F1011B" w:rsidRDefault="009070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</w:tbl>
    <w:p w14:paraId="7B7F6EC1" w14:textId="77777777" w:rsidR="00F1011B" w:rsidRDefault="00F1011B">
      <w:pPr>
        <w:rPr>
          <w:rFonts w:ascii="仿宋" w:eastAsia="仿宋" w:hAnsi="仿宋" w:cs="仿宋"/>
        </w:rPr>
      </w:pPr>
    </w:p>
    <w:sectPr w:rsidR="00F1011B">
      <w:pgSz w:w="11906" w:h="16838"/>
      <w:pgMar w:top="1383" w:right="1519" w:bottom="1440" w:left="10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51CF97"/>
    <w:multiLevelType w:val="singleLevel"/>
    <w:tmpl w:val="8751C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BCEDC7"/>
    <w:multiLevelType w:val="singleLevel"/>
    <w:tmpl w:val="ADBCED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38E8A1D"/>
    <w:multiLevelType w:val="singleLevel"/>
    <w:tmpl w:val="B38E8A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B48403B"/>
    <w:multiLevelType w:val="singleLevel"/>
    <w:tmpl w:val="BB4840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CC9B97E"/>
    <w:multiLevelType w:val="singleLevel"/>
    <w:tmpl w:val="DCC9B9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B03BB98"/>
    <w:multiLevelType w:val="singleLevel"/>
    <w:tmpl w:val="EB03BB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A17468F"/>
    <w:multiLevelType w:val="singleLevel"/>
    <w:tmpl w:val="0A1746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2325A3C"/>
    <w:multiLevelType w:val="singleLevel"/>
    <w:tmpl w:val="12325A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AC7A93C"/>
    <w:multiLevelType w:val="singleLevel"/>
    <w:tmpl w:val="2AC7A9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D83280E"/>
    <w:multiLevelType w:val="singleLevel"/>
    <w:tmpl w:val="2D8328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3CA753E"/>
    <w:multiLevelType w:val="singleLevel"/>
    <w:tmpl w:val="33CA75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21638A5"/>
    <w:multiLevelType w:val="singleLevel"/>
    <w:tmpl w:val="721638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C37D8"/>
    <w:rsid w:val="0090705D"/>
    <w:rsid w:val="00AE14DE"/>
    <w:rsid w:val="00D2653B"/>
    <w:rsid w:val="00F1011B"/>
    <w:rsid w:val="01F77702"/>
    <w:rsid w:val="04DC371F"/>
    <w:rsid w:val="08D57D35"/>
    <w:rsid w:val="095057C1"/>
    <w:rsid w:val="0C115229"/>
    <w:rsid w:val="119E3AF1"/>
    <w:rsid w:val="14114706"/>
    <w:rsid w:val="19773B7D"/>
    <w:rsid w:val="21C54FD0"/>
    <w:rsid w:val="25CB2069"/>
    <w:rsid w:val="29D0711F"/>
    <w:rsid w:val="2A554134"/>
    <w:rsid w:val="2A790520"/>
    <w:rsid w:val="2B06797F"/>
    <w:rsid w:val="2BAF2430"/>
    <w:rsid w:val="2C9D0974"/>
    <w:rsid w:val="2E357667"/>
    <w:rsid w:val="3F373A49"/>
    <w:rsid w:val="44EC6BBA"/>
    <w:rsid w:val="4F293B8F"/>
    <w:rsid w:val="50984FAD"/>
    <w:rsid w:val="53F60CF8"/>
    <w:rsid w:val="5A28720D"/>
    <w:rsid w:val="5B7D5A39"/>
    <w:rsid w:val="5C8E724B"/>
    <w:rsid w:val="5FC22B81"/>
    <w:rsid w:val="60061C7A"/>
    <w:rsid w:val="68A77CAE"/>
    <w:rsid w:val="6AD22117"/>
    <w:rsid w:val="6FD01D03"/>
    <w:rsid w:val="79E95018"/>
    <w:rsid w:val="79EF17FD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916968-BBBF-4E97-80F5-24E67100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4</cp:revision>
  <dcterms:created xsi:type="dcterms:W3CDTF">2026-01-07T02:58:00Z</dcterms:created>
  <dcterms:modified xsi:type="dcterms:W3CDTF">2026-06-04T03:55:00Z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eyJoZGlkIjoiNGVjMTVmYTdjM2IyZTNhYzM3NzgwMDZmODZkNzRiZTMiLCJ1c2VySWQiOiIxMjc5NjM2NDEzIn0=</vt:lpwstr>
  </property>
</Properties>
</file>