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4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883"/>
        <w:gridCol w:w="1134"/>
        <w:gridCol w:w="3189"/>
        <w:gridCol w:w="1462"/>
      </w:tblGrid>
      <w:tr w:rsidR="00683B8F" w14:paraId="0B57233C" w14:textId="77777777" w:rsidTr="00683B8F">
        <w:trPr>
          <w:trHeight w:val="606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683B8F" w:rsidRDefault="00683B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683B8F" w:rsidRDefault="00683B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683B8F" w:rsidRDefault="00683B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683B8F" w:rsidRDefault="00683B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683B8F" w:rsidRDefault="00683B8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单位（包括但不限于人份、测试）</w:t>
            </w:r>
          </w:p>
        </w:tc>
      </w:tr>
      <w:tr w:rsidR="00683B8F" w14:paraId="19FA03CD" w14:textId="77777777" w:rsidTr="00683B8F">
        <w:trPr>
          <w:trHeight w:val="864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A8E" w14:textId="77777777" w:rsidR="00683B8F" w:rsidRDefault="00683B8F">
            <w:pPr>
              <w:pStyle w:val="a3"/>
              <w:spacing w:line="219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268" w14:textId="28021584" w:rsidR="00683B8F" w:rsidRPr="00683B8F" w:rsidRDefault="00683B8F" w:rsidP="00683B8F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 w:rsidRPr="00683B8F">
              <w:rPr>
                <w:rFonts w:ascii="仿宋" w:eastAsia="仿宋" w:hAnsi="仿宋" w:cstheme="minorBidi" w:hint="eastAsia"/>
                <w:color w:val="000000"/>
                <w:sz w:val="24"/>
                <w:szCs w:val="24"/>
                <w:lang w:eastAsia="zh-CN"/>
              </w:rPr>
              <w:t>血气分析试剂及配套耗材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CCADE" w14:textId="77777777" w:rsidR="00683B8F" w:rsidRDefault="00683B8F">
            <w:pPr>
              <w:pStyle w:val="a3"/>
              <w:spacing w:line="219" w:lineRule="auto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血气、电解质、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生化多项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校准品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6829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1.适用于罗氏诊断产品（上海）有限公司血气分析仪</w:t>
            </w:r>
            <w:proofErr w:type="spellStart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cobas</w:t>
            </w:r>
            <w:proofErr w:type="spellEnd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 xml:space="preserve"> 123。</w:t>
            </w:r>
          </w:p>
          <w:p w14:paraId="3241C3AA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2.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测试项目：必须提供pH、PO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bscript"/>
              </w:rPr>
              <w:t>2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、PCO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bscript"/>
              </w:rPr>
              <w:t>2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、Na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perscript"/>
              </w:rPr>
              <w:t>+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、K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perscript"/>
              </w:rPr>
              <w:t>+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、Ca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perscript"/>
              </w:rPr>
              <w:t>2+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、Cl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  <w:vertAlign w:val="superscript"/>
              </w:rPr>
              <w:t>-</w:t>
            </w:r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</w:t>
            </w:r>
            <w:proofErr w:type="spellStart"/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Glu</w:t>
            </w:r>
            <w:proofErr w:type="spellEnd"/>
            <w:r w:rsidRPr="00683B8F">
              <w:rPr>
                <w:rFonts w:ascii="仿宋" w:eastAsia="仿宋" w:hAnsi="仿宋" w:cstheme="majorEastAsia" w:hint="eastAsia"/>
                <w:bCs/>
                <w:sz w:val="24"/>
              </w:rPr>
              <w:t>、Lac、HCT 10项实际测定参数。</w:t>
            </w:r>
          </w:p>
          <w:p w14:paraId="1FFC1146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3.计算项目：提供H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  <w:vertAlign w:val="superscript"/>
              </w:rPr>
              <w:t>+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、</w:t>
            </w:r>
            <w:proofErr w:type="spellStart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BEecf</w:t>
            </w:r>
            <w:proofErr w:type="spellEnd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 xml:space="preserve"> 、cHCO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  <w:vertAlign w:val="superscript"/>
              </w:rPr>
              <w:t>3-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、PAO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  <w:vertAlign w:val="subscript"/>
              </w:rPr>
              <w:t>2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、AaDO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  <w:vertAlign w:val="subscript"/>
              </w:rPr>
              <w:t>2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，a/AO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  <w:vertAlign w:val="subscript"/>
              </w:rPr>
              <w:t>2</w:t>
            </w: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、阴离子间隙、乳酸清除率等＞35项计算参数可供选择。</w:t>
            </w:r>
          </w:p>
          <w:p w14:paraId="242F6CF8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4.生物安全防护：能有效减少生物污染，避免操作过程中的感染风险。</w:t>
            </w:r>
          </w:p>
          <w:p w14:paraId="4A7424F5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5.全自动液体定标方式。</w:t>
            </w:r>
          </w:p>
          <w:p w14:paraId="64BAB40D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6.采用集成的电极盒，与试剂包分离设计，提供多种参数组合的电极盒。</w:t>
            </w:r>
          </w:p>
          <w:p w14:paraId="699A49E3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7.采用集成的试剂包，包含所有定标液、冲洗液、废液包和进样口，生物废液无渗漏风险。</w:t>
            </w:r>
          </w:p>
          <w:p w14:paraId="5F116A45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8.试剂包常温储存无需冷藏，有效期＞8个月，上机时间＞40天，并可在同型号机器上替换使用，保证充分利用。</w:t>
            </w:r>
          </w:p>
          <w:p w14:paraId="3A26CCFB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9.仪器可自动侦测并避免血凝块，避免发生凝血的样本所导致的通路堵塞。</w:t>
            </w:r>
          </w:p>
          <w:p w14:paraId="7D9292F2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10.全参数检测用血量＜125ul，微量血样本体积＜40ul。</w:t>
            </w:r>
          </w:p>
          <w:p w14:paraId="7B1C3EFA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11.检测时间：≤2分钟得到检测数据结果。</w:t>
            </w:r>
          </w:p>
          <w:p w14:paraId="05A900C6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12.提供自动二重酸碱图，帮助轻松判断病人酸碱状态。</w:t>
            </w:r>
          </w:p>
          <w:p w14:paraId="3F8F5A76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13.提供病人趋势图，帮助对病人进行周期性的监控，监测治疗有效性。</w:t>
            </w:r>
          </w:p>
          <w:p w14:paraId="798E32FC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14.封闭性进样，无进样针外露导致的针刺风险，防止样本暴露产生气溶胶。</w:t>
            </w:r>
          </w:p>
          <w:p w14:paraId="5F46F0BF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lastRenderedPageBreak/>
              <w:t>15.待机时进样管路封闭，内部自动清洗，防止气溶胶逸散。</w:t>
            </w:r>
          </w:p>
          <w:p w14:paraId="3F8EAB53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16.</w:t>
            </w:r>
            <w:proofErr w:type="gramStart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电阻屏触控</w:t>
            </w:r>
            <w:proofErr w:type="gramEnd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，支持手套</w:t>
            </w:r>
            <w:proofErr w:type="gramStart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与其他触控</w:t>
            </w:r>
            <w:proofErr w:type="gramEnd"/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工具，减少污染区直接接触。</w:t>
            </w:r>
          </w:p>
          <w:p w14:paraId="5F4F641F" w14:textId="77777777" w:rsidR="00683B8F" w:rsidRPr="00683B8F" w:rsidRDefault="00683B8F" w:rsidP="00683B8F">
            <w:pPr>
              <w:widowControl/>
              <w:rPr>
                <w:rFonts w:ascii="仿宋" w:eastAsia="仿宋" w:hAnsi="仿宋" w:cstheme="majorEastAsia"/>
                <w:bCs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17.内置热敏打印机可随时打印报告；可连接计算机打印规范的纸质报告；轻松联网LIS系统。</w:t>
            </w:r>
          </w:p>
          <w:p w14:paraId="03C0D25B" w14:textId="77777777" w:rsidR="00683B8F" w:rsidRPr="00683B8F" w:rsidRDefault="00683B8F" w:rsidP="00683B8F">
            <w:pPr>
              <w:widowControl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83B8F">
              <w:rPr>
                <w:rFonts w:ascii="仿宋" w:eastAsia="仿宋" w:hAnsi="仿宋" w:cstheme="majorEastAsia" w:hint="eastAsia"/>
                <w:bCs/>
                <w:color w:val="000000"/>
                <w:sz w:val="24"/>
              </w:rPr>
              <w:t>18.具有远程控制功能的原厂IT系统，实时监控仪器状态与质控状态，还可拓展管理全院其它床旁检验项目。</w:t>
            </w:r>
          </w:p>
          <w:p w14:paraId="64D186B2" w14:textId="77777777" w:rsidR="00683B8F" w:rsidRPr="00683B8F" w:rsidRDefault="00683B8F" w:rsidP="00683B8F">
            <w:pPr>
              <w:pStyle w:val="a3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CBBE" w14:textId="77777777" w:rsidR="00683B8F" w:rsidRPr="00683B8F" w:rsidRDefault="00683B8F">
            <w:pPr>
              <w:pStyle w:val="a3"/>
              <w:spacing w:line="219" w:lineRule="auto"/>
              <w:jc w:val="center"/>
              <w:rPr>
                <w:rFonts w:ascii="仿宋" w:eastAsia="仿宋" w:hAnsi="仿宋" w:cstheme="minorBidi"/>
                <w:color w:val="000000"/>
                <w:sz w:val="24"/>
                <w:szCs w:val="24"/>
                <w:lang w:eastAsia="zh-CN"/>
              </w:rPr>
            </w:pPr>
            <w:r w:rsidRPr="00683B8F">
              <w:rPr>
                <w:rFonts w:ascii="仿宋" w:eastAsia="仿宋" w:hAnsi="仿宋" w:cstheme="minorBidi" w:hint="eastAsia"/>
                <w:color w:val="000000"/>
                <w:sz w:val="24"/>
                <w:szCs w:val="24"/>
                <w:lang w:eastAsia="zh-CN"/>
              </w:rPr>
              <w:lastRenderedPageBreak/>
              <w:t>2</w:t>
            </w:r>
            <w:r w:rsidRPr="00683B8F">
              <w:rPr>
                <w:rFonts w:ascii="仿宋" w:eastAsia="仿宋" w:hAnsi="仿宋" w:cstheme="minorBidi"/>
                <w:color w:val="000000"/>
                <w:sz w:val="24"/>
                <w:szCs w:val="24"/>
                <w:lang w:eastAsia="zh-CN"/>
              </w:rPr>
              <w:t>00测试</w:t>
            </w:r>
            <w:r w:rsidRPr="00683B8F">
              <w:rPr>
                <w:rFonts w:ascii="仿宋" w:eastAsia="仿宋" w:hAnsi="仿宋" w:cstheme="minorBidi" w:hint="eastAsia"/>
                <w:color w:val="000000"/>
                <w:sz w:val="24"/>
                <w:szCs w:val="24"/>
                <w:lang w:eastAsia="zh-CN"/>
              </w:rPr>
              <w:t>/盒</w:t>
            </w:r>
          </w:p>
          <w:p w14:paraId="6F8F28F8" w14:textId="1B773271" w:rsidR="00683B8F" w:rsidRDefault="00683B8F">
            <w:pPr>
              <w:pStyle w:val="a3"/>
              <w:spacing w:line="219" w:lineRule="auto"/>
              <w:jc w:val="center"/>
              <w:rPr>
                <w:rFonts w:asciiTheme="minorHAnsi" w:eastAsiaTheme="minorEastAsia" w:hAnsiTheme="minorHAnsi" w:cstheme="minorBidi" w:hint="eastAsia"/>
                <w:color w:val="000000"/>
                <w:sz w:val="18"/>
                <w:szCs w:val="18"/>
                <w:lang w:eastAsia="zh-CN"/>
              </w:rPr>
            </w:pPr>
            <w:r w:rsidRPr="00683B8F">
              <w:rPr>
                <w:rFonts w:ascii="仿宋" w:eastAsia="仿宋" w:hAnsi="仿宋" w:cstheme="minorBid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683B8F">
              <w:rPr>
                <w:rFonts w:ascii="仿宋" w:eastAsia="仿宋" w:hAnsi="仿宋" w:cstheme="minorBidi"/>
                <w:color w:val="000000"/>
                <w:sz w:val="24"/>
                <w:szCs w:val="24"/>
                <w:lang w:eastAsia="zh-CN"/>
              </w:rPr>
              <w:t>00测试</w:t>
            </w:r>
            <w:r w:rsidRPr="00683B8F">
              <w:rPr>
                <w:rFonts w:ascii="仿宋" w:eastAsia="仿宋" w:hAnsi="仿宋" w:cstheme="minorBidi" w:hint="eastAsia"/>
                <w:color w:val="000000"/>
                <w:sz w:val="24"/>
                <w:szCs w:val="24"/>
                <w:lang w:eastAsia="zh-CN"/>
              </w:rPr>
              <w:t>/盒</w:t>
            </w:r>
            <w:bookmarkStart w:id="0" w:name="_GoBack"/>
            <w:bookmarkEnd w:id="0"/>
          </w:p>
        </w:tc>
      </w:tr>
    </w:tbl>
    <w:p w14:paraId="184376DD" w14:textId="77777777" w:rsidR="006275C9" w:rsidRDefault="006275C9"/>
    <w:sectPr w:rsidR="006275C9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02F26C2"/>
    <w:rsid w:val="00350832"/>
    <w:rsid w:val="00462228"/>
    <w:rsid w:val="006275C9"/>
    <w:rsid w:val="00683B8F"/>
    <w:rsid w:val="008977AD"/>
    <w:rsid w:val="00B57006"/>
    <w:rsid w:val="00D773C4"/>
    <w:rsid w:val="00DC1BA9"/>
    <w:rsid w:val="00E226A5"/>
    <w:rsid w:val="00E36BF1"/>
    <w:rsid w:val="00F33327"/>
    <w:rsid w:val="19773B7D"/>
    <w:rsid w:val="2A790520"/>
    <w:rsid w:val="3F373A49"/>
    <w:rsid w:val="53F60CF8"/>
    <w:rsid w:val="5C9E44ED"/>
    <w:rsid w:val="68A77CAE"/>
    <w:rsid w:val="79E95018"/>
    <w:rsid w:val="7A746FD1"/>
    <w:rsid w:val="7AB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C9D573-8067-4D8E-869D-A7DBD468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653</Characters>
  <Application>Microsoft Office Word</Application>
  <DocSecurity>0</DocSecurity>
  <Lines>5</Lines>
  <Paragraphs>1</Paragraphs>
  <ScaleCrop>false</ScaleCrop>
  <Company>F. Hoffmann-La Roche, Ltd.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Microsoft 帐户</cp:lastModifiedBy>
  <cp:revision>7</cp:revision>
  <dcterms:created xsi:type="dcterms:W3CDTF">2026-01-07T02:58:00Z</dcterms:created>
  <dcterms:modified xsi:type="dcterms:W3CDTF">2026-05-29T02:43:00Z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eyJoZGlkIjoiMzRjYzBmMjY5ODQyYTk0NzdhNjFlMWFhYjJjZTJiYjIiLCJ1c2VySWQiOiIzOTI4MTA4NzIifQ==</vt:lpwstr>
  </property>
</Properties>
</file>