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3ABAC">
      <w:pPr>
        <w:pStyle w:val="2"/>
        <w:keepNext/>
        <w:keepLines/>
        <w:pageBreakBefore w:val="0"/>
        <w:widowControl w:val="0"/>
        <w:kinsoku/>
        <w:wordWrap/>
        <w:overflowPunct/>
        <w:topLinePunct w:val="0"/>
        <w:autoSpaceDE/>
        <w:autoSpaceDN/>
        <w:bidi w:val="0"/>
        <w:adjustRightInd/>
        <w:snapToGrid/>
        <w:spacing w:before="260" w:after="260" w:line="360" w:lineRule="auto"/>
        <w:jc w:val="center"/>
        <w:textAlignment w:val="auto"/>
        <w:rPr>
          <w:rFonts w:hint="eastAsia" w:ascii="宋体" w:hAnsi="宋体" w:eastAsia="宋体" w:cs="宋体"/>
          <w:color w:val="000000"/>
          <w:sz w:val="31"/>
          <w:szCs w:val="31"/>
          <w:highlight w:val="none"/>
        </w:rPr>
      </w:pPr>
      <w:bookmarkStart w:id="0" w:name="_Toc15840"/>
      <w:bookmarkStart w:id="1" w:name="_Toc14479"/>
      <w:bookmarkStart w:id="2" w:name="_Toc24211"/>
      <w:r>
        <w:rPr>
          <w:rFonts w:hint="eastAsia" w:ascii="宋体" w:hAnsi="宋体" w:eastAsia="宋体" w:cs="宋体"/>
          <w:b/>
          <w:bCs/>
          <w:color w:val="000000"/>
          <w:kern w:val="44"/>
          <w:sz w:val="28"/>
          <w:szCs w:val="28"/>
          <w:highlight w:val="none"/>
          <w:lang w:val="en-US" w:eastAsia="zh-CN" w:bidi="en-US"/>
        </w:rPr>
        <w:t>二、技术要求</w:t>
      </w:r>
      <w:bookmarkEnd w:id="0"/>
      <w:bookmarkEnd w:id="1"/>
      <w:bookmarkEnd w:id="2"/>
    </w:p>
    <w:p w14:paraId="14016762">
      <w:pPr>
        <w:tabs>
          <w:tab w:val="left" w:pos="1463"/>
        </w:tabs>
        <w:bidi w:val="0"/>
        <w:jc w:val="left"/>
        <w:rPr>
          <w:rFonts w:hint="eastAsia" w:ascii="宋体" w:hAnsi="宋体" w:eastAsia="宋体" w:cs="宋体"/>
          <w:b/>
          <w:bCs/>
          <w:color w:val="000000"/>
          <w:highlight w:val="none"/>
          <w:lang w:val="en-US" w:eastAsia="zh-CN"/>
        </w:rPr>
      </w:pPr>
      <w:r>
        <w:rPr>
          <w:rFonts w:hint="eastAsia" w:ascii="宋体" w:hAnsi="宋体" w:eastAsia="宋体" w:cs="宋体"/>
          <w:b/>
          <w:bCs/>
          <w:color w:val="000000"/>
          <w:highlight w:val="none"/>
          <w:lang w:val="en-US" w:eastAsia="zh-CN"/>
        </w:rPr>
        <w:t>1、产品技术要求</w:t>
      </w:r>
    </w:p>
    <w:tbl>
      <w:tblPr>
        <w:tblStyle w:val="7"/>
        <w:tblW w:w="95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7"/>
        <w:gridCol w:w="1480"/>
        <w:gridCol w:w="3564"/>
        <w:gridCol w:w="912"/>
        <w:gridCol w:w="1058"/>
        <w:gridCol w:w="1136"/>
        <w:gridCol w:w="770"/>
      </w:tblGrid>
      <w:tr w14:paraId="014FA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jc w:val="center"/>
        </w:trPr>
        <w:tc>
          <w:tcPr>
            <w:tcW w:w="627" w:type="dxa"/>
            <w:tcBorders>
              <w:top w:val="single" w:color="000000" w:sz="4" w:space="0"/>
              <w:left w:val="single" w:color="000000" w:sz="4" w:space="0"/>
              <w:bottom w:val="single" w:color="000000" w:sz="4" w:space="0"/>
              <w:right w:val="single" w:color="000000" w:sz="4" w:space="0"/>
            </w:tcBorders>
            <w:noWrap w:val="0"/>
            <w:vAlign w:val="center"/>
          </w:tcPr>
          <w:p w14:paraId="52D3BD9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序号</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CB9775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项目名称</w:t>
            </w:r>
          </w:p>
        </w:tc>
        <w:tc>
          <w:tcPr>
            <w:tcW w:w="3564" w:type="dxa"/>
            <w:tcBorders>
              <w:top w:val="single" w:color="000000" w:sz="4" w:space="0"/>
              <w:left w:val="single" w:color="000000" w:sz="4" w:space="0"/>
              <w:bottom w:val="single" w:color="000000" w:sz="4" w:space="0"/>
              <w:right w:val="single" w:color="000000" w:sz="4" w:space="0"/>
            </w:tcBorders>
            <w:noWrap w:val="0"/>
            <w:vAlign w:val="center"/>
          </w:tcPr>
          <w:p w14:paraId="1DA61D2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产品参数</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70E757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单位（包括但不限于人份、测试）</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7935AC3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单价最高限价（人民币/元）</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4EB7A2A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预计采购数量（3年）</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6401ACA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center"/>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备注</w:t>
            </w:r>
          </w:p>
        </w:tc>
      </w:tr>
      <w:tr w14:paraId="32DCA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8" w:hRule="atLeast"/>
          <w:jc w:val="center"/>
        </w:trPr>
        <w:tc>
          <w:tcPr>
            <w:tcW w:w="627" w:type="dxa"/>
            <w:tcBorders>
              <w:top w:val="single" w:color="000000" w:sz="4" w:space="0"/>
              <w:left w:val="single" w:color="000000" w:sz="4" w:space="0"/>
              <w:bottom w:val="single" w:color="000000" w:sz="4" w:space="0"/>
              <w:right w:val="single" w:color="000000" w:sz="4" w:space="0"/>
            </w:tcBorders>
            <w:noWrap/>
            <w:vAlign w:val="center"/>
          </w:tcPr>
          <w:p w14:paraId="7FB1C8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F723E4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微创扩张引流套件1</w:t>
            </w:r>
          </w:p>
        </w:tc>
        <w:tc>
          <w:tcPr>
            <w:tcW w:w="3564" w:type="dxa"/>
            <w:tcBorders>
              <w:top w:val="single" w:color="000000" w:sz="4" w:space="0"/>
              <w:left w:val="single" w:color="000000" w:sz="4" w:space="0"/>
              <w:bottom w:val="single" w:color="000000" w:sz="4" w:space="0"/>
              <w:right w:val="single" w:color="000000" w:sz="4" w:space="0"/>
            </w:tcBorders>
            <w:noWrap w:val="0"/>
            <w:vAlign w:val="center"/>
          </w:tcPr>
          <w:p w14:paraId="72B5C177">
            <w:pPr>
              <w:pStyle w:val="2"/>
              <w:rPr>
                <w:rFonts w:hint="eastAsia" w:ascii="宋体" w:hAnsi="宋体" w:eastAsia="宋体" w:cs="宋体"/>
                <w:sz w:val="24"/>
                <w:szCs w:val="24"/>
                <w:highlight w:val="none"/>
                <w:lang w:val="en-US" w:eastAsia="zh-CN"/>
              </w:rPr>
            </w:pPr>
            <w:r>
              <w:rPr>
                <w:rFonts w:hint="eastAsia" w:ascii="Times New Roman" w:hAnsi="Times New Roman" w:eastAsia="Times New Roman" w:cs="Times New Roman"/>
                <w:b w:val="0"/>
                <w:color w:val="000000"/>
                <w:sz w:val="24"/>
                <w:szCs w:val="24"/>
                <w:highlight w:val="none"/>
                <w:lang w:val="en-US" w:eastAsia="zh-CN" w:bidi="en-US"/>
              </w:rPr>
              <w:t>1.采用纯硅胶或聚氨酯材料制成；2.设置有刻度标识，容易把握插入距离；3. 导管长度≥380mm；4.可在X线或CT成像下显影。5.最大外径4.7mm，</w:t>
            </w:r>
            <w:r>
              <w:rPr>
                <w:rFonts w:hint="eastAsia" w:ascii="仿宋" w:hAnsi="仿宋" w:eastAsia="仿宋" w:cs="仿宋"/>
                <w:b w:val="0"/>
                <w:bCs/>
                <w:sz w:val="24"/>
                <w:szCs w:val="24"/>
              </w:rPr>
              <w:t>符合1</w:t>
            </w:r>
            <w:r>
              <w:rPr>
                <w:rFonts w:hint="eastAsia" w:ascii="仿宋" w:hAnsi="仿宋" w:eastAsia="仿宋" w:cs="仿宋"/>
                <w:b w:val="0"/>
                <w:bCs/>
                <w:sz w:val="24"/>
                <w:szCs w:val="24"/>
                <w:lang w:val="en-US" w:eastAsia="zh-CN"/>
              </w:rPr>
              <w:t>4</w:t>
            </w:r>
            <w:r>
              <w:rPr>
                <w:rFonts w:hint="eastAsia" w:ascii="仿宋" w:hAnsi="仿宋" w:eastAsia="仿宋" w:cs="仿宋"/>
                <w:b w:val="0"/>
                <w:bCs/>
                <w:sz w:val="24"/>
                <w:szCs w:val="24"/>
              </w:rPr>
              <w:t>F</w:t>
            </w:r>
            <w:r>
              <w:rPr>
                <w:rFonts w:hint="eastAsia" w:ascii="Times New Roman" w:hAnsi="Times New Roman" w:eastAsia="Times New Roman" w:cs="Times New Roman"/>
                <w:b w:val="0"/>
                <w:color w:val="000000"/>
                <w:sz w:val="24"/>
                <w:szCs w:val="24"/>
                <w:highlight w:val="none"/>
                <w:lang w:val="en-US" w:eastAsia="zh-CN" w:bidi="en-US"/>
              </w:rPr>
              <w:t>；</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2291ACF">
            <w:pPr>
              <w:kinsoku/>
              <w:autoSpaceDE/>
              <w:autoSpaceDN/>
              <w:adjustRightInd/>
              <w:snapToGrid/>
              <w:jc w:val="center"/>
              <w:textAlignment w:val="center"/>
              <w:rPr>
                <w:rFonts w:hint="default" w:ascii="宋体" w:hAnsi="宋体" w:eastAsia="宋体" w:cs="宋体"/>
                <w:sz w:val="24"/>
                <w:szCs w:val="24"/>
                <w:highlight w:val="yellow"/>
                <w:lang w:val="en-US" w:eastAsia="zh-CN"/>
              </w:rPr>
            </w:pPr>
            <w:r>
              <w:rPr>
                <w:rFonts w:hint="eastAsia" w:ascii="宋体" w:hAnsi="宋体" w:eastAsia="宋体" w:cs="宋体"/>
                <w:sz w:val="24"/>
                <w:szCs w:val="24"/>
                <w:lang w:val="en-US" w:eastAsia="zh-CN"/>
              </w:rPr>
              <w:t>支</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15043F45">
            <w:pPr>
              <w:widowControl w:val="0"/>
              <w:kinsoku/>
              <w:autoSpaceDE/>
              <w:autoSpaceDN/>
              <w:adjustRightInd/>
              <w:snapToGrid/>
              <w:jc w:val="both"/>
              <w:rPr>
                <w:rFonts w:hint="default" w:ascii="宋体" w:hAnsi="宋体" w:eastAsia="宋体" w:cs="宋体"/>
                <w:sz w:val="24"/>
                <w:szCs w:val="24"/>
                <w:highlight w:val="yellow"/>
                <w:lang w:val="en-US" w:eastAsia="zh-CN"/>
              </w:rPr>
            </w:pPr>
            <w:r>
              <w:rPr>
                <w:rFonts w:hint="eastAsia" w:ascii="宋体" w:hAnsi="宋体" w:eastAsia="宋体" w:cs="宋体"/>
                <w:sz w:val="24"/>
                <w:szCs w:val="24"/>
                <w:lang w:val="en-US" w:eastAsia="zh-CN"/>
              </w:rPr>
              <w:t>36</w:t>
            </w: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2134D951">
            <w:pPr>
              <w:widowControl w:val="0"/>
              <w:kinsoku/>
              <w:autoSpaceDE/>
              <w:autoSpaceDN/>
              <w:adjustRightInd/>
              <w:snapToGrid/>
              <w:jc w:val="both"/>
              <w:rPr>
                <w:rFonts w:hint="default" w:ascii="宋体" w:hAnsi="宋体" w:eastAsia="宋体" w:cs="宋体"/>
                <w:sz w:val="24"/>
                <w:szCs w:val="24"/>
                <w:highlight w:val="yellow"/>
                <w:lang w:val="en-US" w:eastAsia="zh-CN"/>
              </w:rPr>
            </w:pPr>
            <w:r>
              <w:rPr>
                <w:rFonts w:hint="eastAsia" w:ascii="宋体" w:hAnsi="宋体" w:eastAsia="宋体" w:cs="宋体"/>
                <w:sz w:val="24"/>
                <w:szCs w:val="24"/>
                <w:highlight w:val="none"/>
                <w:lang w:val="en-US" w:eastAsia="zh-CN"/>
              </w:rPr>
              <w:t>50</w:t>
            </w:r>
            <w:bookmarkStart w:id="6" w:name="_GoBack"/>
            <w:bookmarkEnd w:id="6"/>
          </w:p>
        </w:tc>
        <w:tc>
          <w:tcPr>
            <w:tcW w:w="770" w:type="dxa"/>
            <w:tcBorders>
              <w:top w:val="single" w:color="000000" w:sz="4" w:space="0"/>
              <w:left w:val="single" w:color="000000" w:sz="4" w:space="0"/>
              <w:bottom w:val="single" w:color="000000" w:sz="4" w:space="0"/>
              <w:right w:val="single" w:color="000000" w:sz="4" w:space="0"/>
            </w:tcBorders>
            <w:noWrap/>
            <w:vAlign w:val="center"/>
          </w:tcPr>
          <w:p w14:paraId="437ED5D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hint="default" w:ascii="宋体" w:hAnsi="宋体" w:eastAsia="宋体" w:cs="宋体"/>
                <w:sz w:val="24"/>
                <w:szCs w:val="24"/>
                <w:highlight w:val="none"/>
                <w:lang w:val="en-US" w:eastAsia="zh-CN"/>
              </w:rPr>
            </w:pPr>
          </w:p>
        </w:tc>
      </w:tr>
      <w:tr w14:paraId="4103C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8" w:hRule="atLeast"/>
          <w:jc w:val="center"/>
        </w:trPr>
        <w:tc>
          <w:tcPr>
            <w:tcW w:w="627" w:type="dxa"/>
            <w:tcBorders>
              <w:top w:val="single" w:color="000000" w:sz="4" w:space="0"/>
              <w:left w:val="single" w:color="000000" w:sz="4" w:space="0"/>
              <w:bottom w:val="single" w:color="000000" w:sz="4" w:space="0"/>
              <w:right w:val="single" w:color="000000" w:sz="4" w:space="0"/>
            </w:tcBorders>
            <w:noWrap/>
            <w:vAlign w:val="center"/>
          </w:tcPr>
          <w:p w14:paraId="73034C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4130B61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b w:val="0"/>
                <w:bCs w:val="0"/>
                <w:kern w:val="0"/>
                <w:sz w:val="28"/>
                <w:szCs w:val="28"/>
                <w:vertAlign w:val="baseline"/>
                <w:lang w:val="en-US" w:eastAsia="zh-CN"/>
              </w:rPr>
            </w:pPr>
            <w:r>
              <w:rPr>
                <w:rFonts w:hint="eastAsia" w:ascii="宋体" w:hAnsi="宋体" w:eastAsia="宋体" w:cs="宋体"/>
                <w:i w:val="0"/>
                <w:iCs w:val="0"/>
                <w:color w:val="000000"/>
                <w:kern w:val="0"/>
                <w:sz w:val="24"/>
                <w:szCs w:val="24"/>
                <w:u w:val="none"/>
                <w:lang w:val="en-US" w:eastAsia="zh-CN" w:bidi="ar"/>
              </w:rPr>
              <w:t>微创扩张引流套件2</w:t>
            </w:r>
          </w:p>
        </w:tc>
        <w:tc>
          <w:tcPr>
            <w:tcW w:w="3564" w:type="dxa"/>
            <w:tcBorders>
              <w:top w:val="single" w:color="000000" w:sz="4" w:space="0"/>
              <w:left w:val="single" w:color="000000" w:sz="4" w:space="0"/>
              <w:bottom w:val="single" w:color="000000" w:sz="4" w:space="0"/>
              <w:right w:val="single" w:color="000000" w:sz="4" w:space="0"/>
            </w:tcBorders>
            <w:noWrap w:val="0"/>
            <w:vAlign w:val="center"/>
          </w:tcPr>
          <w:p w14:paraId="69973414">
            <w:pPr>
              <w:pStyle w:val="2"/>
              <w:rPr>
                <w:rFonts w:hint="eastAsia" w:ascii="仿宋" w:hAnsi="仿宋" w:eastAsia="仿宋" w:cs="仿宋"/>
                <w:i w:val="0"/>
                <w:iCs w:val="0"/>
                <w:color w:val="000000"/>
                <w:kern w:val="0"/>
                <w:sz w:val="24"/>
                <w:szCs w:val="24"/>
                <w:u w:val="none"/>
                <w:lang w:val="en-US" w:eastAsia="zh-CN" w:bidi="ar"/>
              </w:rPr>
            </w:pPr>
            <w:r>
              <w:rPr>
                <w:rFonts w:hint="eastAsia" w:ascii="Times New Roman" w:hAnsi="Times New Roman" w:eastAsia="Times New Roman" w:cs="Times New Roman"/>
                <w:b w:val="0"/>
                <w:color w:val="000000"/>
                <w:sz w:val="24"/>
                <w:szCs w:val="24"/>
                <w:highlight w:val="none"/>
                <w:lang w:val="en-US" w:eastAsia="zh-CN" w:bidi="en-US"/>
              </w:rPr>
              <w:t>1.采用纯硅胶或聚氨酯材料制成；2.设置有刻度标识，容易把握插入距离；3. 导管长度≥380mm；4.可在X线或CT成像下显影。5.最大外径4.7mm，</w:t>
            </w:r>
            <w:r>
              <w:rPr>
                <w:rFonts w:hint="eastAsia" w:ascii="仿宋" w:hAnsi="仿宋" w:eastAsia="仿宋" w:cs="仿宋"/>
                <w:b w:val="0"/>
                <w:bCs/>
                <w:sz w:val="24"/>
                <w:szCs w:val="24"/>
              </w:rPr>
              <w:t>符合1</w:t>
            </w:r>
            <w:r>
              <w:rPr>
                <w:rFonts w:hint="eastAsia" w:ascii="仿宋" w:hAnsi="仿宋" w:eastAsia="仿宋" w:cs="仿宋"/>
                <w:b w:val="0"/>
                <w:bCs/>
                <w:sz w:val="24"/>
                <w:szCs w:val="24"/>
                <w:lang w:val="en-US" w:eastAsia="zh-CN"/>
              </w:rPr>
              <w:t>6</w:t>
            </w:r>
            <w:r>
              <w:rPr>
                <w:rFonts w:hint="eastAsia" w:ascii="仿宋" w:hAnsi="仿宋" w:eastAsia="仿宋" w:cs="仿宋"/>
                <w:b w:val="0"/>
                <w:bCs/>
                <w:sz w:val="24"/>
                <w:szCs w:val="24"/>
              </w:rPr>
              <w:t>F</w:t>
            </w:r>
            <w:r>
              <w:rPr>
                <w:rFonts w:hint="eastAsia" w:ascii="Times New Roman" w:hAnsi="Times New Roman" w:eastAsia="Times New Roman" w:cs="Times New Roman"/>
                <w:b w:val="0"/>
                <w:color w:val="000000"/>
                <w:sz w:val="24"/>
                <w:szCs w:val="24"/>
                <w:highlight w:val="none"/>
                <w:lang w:val="en-US" w:eastAsia="zh-CN" w:bidi="en-US"/>
              </w:rPr>
              <w:t>；</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00B7354">
            <w:pPr>
              <w:kinsoku/>
              <w:autoSpaceDE/>
              <w:autoSpaceDN/>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sz w:val="24"/>
                <w:szCs w:val="24"/>
                <w:lang w:val="en-US" w:eastAsia="zh-CN"/>
              </w:rPr>
              <w:t>支</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42D397BB">
            <w:pPr>
              <w:widowControl w:val="0"/>
              <w:kinsoku/>
              <w:autoSpaceDE/>
              <w:autoSpaceDN/>
              <w:adjustRightInd/>
              <w:snapToGrid/>
              <w:jc w:val="both"/>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sz w:val="24"/>
                <w:szCs w:val="24"/>
                <w:lang w:val="en-US" w:eastAsia="zh-CN"/>
              </w:rPr>
              <w:t>36</w:t>
            </w: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14386B24">
            <w:pPr>
              <w:widowControl w:val="0"/>
              <w:kinsoku/>
              <w:autoSpaceDE/>
              <w:autoSpaceDN/>
              <w:adjustRightInd/>
              <w:snapToGrid/>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highlight w:val="none"/>
                <w:lang w:val="en-US" w:eastAsia="zh-CN"/>
              </w:rPr>
              <w:t>50</w:t>
            </w:r>
          </w:p>
        </w:tc>
        <w:tc>
          <w:tcPr>
            <w:tcW w:w="770" w:type="dxa"/>
            <w:tcBorders>
              <w:top w:val="single" w:color="000000" w:sz="4" w:space="0"/>
              <w:left w:val="single" w:color="000000" w:sz="4" w:space="0"/>
              <w:bottom w:val="single" w:color="000000" w:sz="4" w:space="0"/>
              <w:right w:val="single" w:color="000000" w:sz="4" w:space="0"/>
            </w:tcBorders>
            <w:noWrap/>
            <w:vAlign w:val="center"/>
          </w:tcPr>
          <w:p w14:paraId="05B7FBA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hint="default" w:ascii="宋体" w:hAnsi="宋体" w:eastAsia="宋体" w:cs="宋体"/>
                <w:sz w:val="24"/>
                <w:szCs w:val="24"/>
                <w:highlight w:val="none"/>
                <w:lang w:val="en-US" w:eastAsia="zh-CN"/>
              </w:rPr>
            </w:pPr>
          </w:p>
        </w:tc>
      </w:tr>
      <w:tr w14:paraId="79BF1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8" w:hRule="atLeast"/>
          <w:jc w:val="center"/>
        </w:trPr>
        <w:tc>
          <w:tcPr>
            <w:tcW w:w="627" w:type="dxa"/>
            <w:tcBorders>
              <w:top w:val="single" w:color="000000" w:sz="4" w:space="0"/>
              <w:left w:val="single" w:color="000000" w:sz="4" w:space="0"/>
              <w:bottom w:val="single" w:color="000000" w:sz="4" w:space="0"/>
              <w:right w:val="single" w:color="000000" w:sz="4" w:space="0"/>
            </w:tcBorders>
            <w:noWrap/>
            <w:vAlign w:val="center"/>
          </w:tcPr>
          <w:p w14:paraId="2C5803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3</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47F077B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b w:val="0"/>
                <w:bCs w:val="0"/>
                <w:kern w:val="0"/>
                <w:sz w:val="28"/>
                <w:szCs w:val="28"/>
                <w:vertAlign w:val="baseline"/>
                <w:lang w:val="en-US" w:eastAsia="zh-CN"/>
              </w:rPr>
            </w:pPr>
            <w:r>
              <w:rPr>
                <w:rFonts w:hint="eastAsia" w:ascii="宋体" w:hAnsi="宋体" w:eastAsia="宋体" w:cs="宋体"/>
                <w:i w:val="0"/>
                <w:iCs w:val="0"/>
                <w:color w:val="000000"/>
                <w:kern w:val="0"/>
                <w:sz w:val="24"/>
                <w:szCs w:val="24"/>
                <w:u w:val="none"/>
                <w:lang w:val="en-US" w:eastAsia="zh-CN" w:bidi="ar"/>
              </w:rPr>
              <w:t>微创扩张引流套件3</w:t>
            </w:r>
          </w:p>
        </w:tc>
        <w:tc>
          <w:tcPr>
            <w:tcW w:w="3564" w:type="dxa"/>
            <w:tcBorders>
              <w:top w:val="single" w:color="000000" w:sz="4" w:space="0"/>
              <w:left w:val="single" w:color="000000" w:sz="4" w:space="0"/>
              <w:bottom w:val="single" w:color="000000" w:sz="4" w:space="0"/>
              <w:right w:val="single" w:color="000000" w:sz="4" w:space="0"/>
            </w:tcBorders>
            <w:noWrap w:val="0"/>
            <w:vAlign w:val="center"/>
          </w:tcPr>
          <w:p w14:paraId="26F863B3">
            <w:pPr>
              <w:pStyle w:val="2"/>
              <w:rPr>
                <w:rFonts w:hint="eastAsia" w:ascii="仿宋" w:hAnsi="仿宋" w:eastAsia="仿宋" w:cs="仿宋"/>
                <w:i w:val="0"/>
                <w:iCs w:val="0"/>
                <w:color w:val="000000"/>
                <w:kern w:val="0"/>
                <w:sz w:val="24"/>
                <w:szCs w:val="24"/>
                <w:u w:val="none"/>
                <w:lang w:val="en-US" w:eastAsia="zh-CN" w:bidi="ar"/>
              </w:rPr>
            </w:pPr>
            <w:r>
              <w:rPr>
                <w:rFonts w:hint="eastAsia" w:ascii="Times New Roman" w:hAnsi="Times New Roman" w:eastAsia="Times New Roman" w:cs="Times New Roman"/>
                <w:b w:val="0"/>
                <w:color w:val="000000"/>
                <w:sz w:val="24"/>
                <w:szCs w:val="24"/>
                <w:highlight w:val="none"/>
                <w:lang w:val="en-US" w:eastAsia="zh-CN" w:bidi="en-US"/>
              </w:rPr>
              <w:t>1.采用纯硅胶或聚氨酯材料制成；2.设置有刻度标识，容易把握插入距离；3. 导管长度≥380mm；4.可在X线或CT成像下显影。5.最大外径4.7mm，</w:t>
            </w:r>
            <w:r>
              <w:rPr>
                <w:rFonts w:hint="eastAsia" w:ascii="仿宋" w:hAnsi="仿宋" w:eastAsia="仿宋" w:cs="仿宋"/>
                <w:b w:val="0"/>
                <w:bCs/>
                <w:sz w:val="24"/>
                <w:szCs w:val="24"/>
              </w:rPr>
              <w:t>符合</w:t>
            </w:r>
            <w:r>
              <w:rPr>
                <w:rFonts w:hint="eastAsia" w:ascii="仿宋" w:hAnsi="仿宋" w:eastAsia="仿宋" w:cs="仿宋"/>
                <w:b w:val="0"/>
                <w:bCs/>
                <w:sz w:val="24"/>
                <w:szCs w:val="24"/>
                <w:lang w:val="en-US" w:eastAsia="zh-CN"/>
              </w:rPr>
              <w:t>22</w:t>
            </w:r>
            <w:r>
              <w:rPr>
                <w:rFonts w:hint="eastAsia" w:ascii="仿宋" w:hAnsi="仿宋" w:eastAsia="仿宋" w:cs="仿宋"/>
                <w:b w:val="0"/>
                <w:bCs/>
                <w:sz w:val="24"/>
                <w:szCs w:val="24"/>
              </w:rPr>
              <w:t>F</w:t>
            </w:r>
            <w:r>
              <w:rPr>
                <w:rFonts w:hint="eastAsia" w:ascii="Times New Roman" w:hAnsi="Times New Roman" w:eastAsia="Times New Roman" w:cs="Times New Roman"/>
                <w:b w:val="0"/>
                <w:color w:val="000000"/>
                <w:sz w:val="24"/>
                <w:szCs w:val="24"/>
                <w:highlight w:val="none"/>
                <w:lang w:val="en-US" w:eastAsia="zh-CN" w:bidi="en-US"/>
              </w:rPr>
              <w:t>；</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642F77E">
            <w:pPr>
              <w:kinsoku/>
              <w:autoSpaceDE/>
              <w:autoSpaceDN/>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sz w:val="24"/>
                <w:szCs w:val="24"/>
                <w:lang w:val="en-US" w:eastAsia="zh-CN"/>
              </w:rPr>
              <w:t>支</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0CDF040D">
            <w:pPr>
              <w:widowControl w:val="0"/>
              <w:kinsoku/>
              <w:autoSpaceDE/>
              <w:autoSpaceDN/>
              <w:adjustRightInd/>
              <w:snapToGrid/>
              <w:jc w:val="both"/>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sz w:val="24"/>
                <w:szCs w:val="24"/>
                <w:lang w:val="en-US" w:eastAsia="zh-CN"/>
              </w:rPr>
              <w:t>36</w:t>
            </w: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4DE206AA">
            <w:pPr>
              <w:widowControl w:val="0"/>
              <w:kinsoku/>
              <w:autoSpaceDE/>
              <w:autoSpaceDN/>
              <w:adjustRightInd/>
              <w:snapToGrid/>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highlight w:val="none"/>
                <w:lang w:val="en-US" w:eastAsia="zh-CN"/>
              </w:rPr>
              <w:t>50</w:t>
            </w:r>
          </w:p>
        </w:tc>
        <w:tc>
          <w:tcPr>
            <w:tcW w:w="770" w:type="dxa"/>
            <w:tcBorders>
              <w:top w:val="single" w:color="000000" w:sz="4" w:space="0"/>
              <w:left w:val="single" w:color="000000" w:sz="4" w:space="0"/>
              <w:bottom w:val="single" w:color="000000" w:sz="4" w:space="0"/>
              <w:right w:val="single" w:color="000000" w:sz="4" w:space="0"/>
            </w:tcBorders>
            <w:noWrap/>
            <w:vAlign w:val="center"/>
          </w:tcPr>
          <w:p w14:paraId="190FDD3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hint="default" w:ascii="宋体" w:hAnsi="宋体" w:eastAsia="宋体" w:cs="宋体"/>
                <w:sz w:val="24"/>
                <w:szCs w:val="24"/>
                <w:highlight w:val="none"/>
                <w:lang w:val="en-US" w:eastAsia="zh-CN"/>
              </w:rPr>
            </w:pPr>
          </w:p>
        </w:tc>
      </w:tr>
    </w:tbl>
    <w:p w14:paraId="323AE60B">
      <w:pPr>
        <w:keepNext w:val="0"/>
        <w:keepLines w:val="0"/>
        <w:pageBreakBefore w:val="0"/>
        <w:widowControl/>
        <w:kinsoku w:val="0"/>
        <w:wordWrap/>
        <w:overflowPunct/>
        <w:topLinePunct w:val="0"/>
        <w:autoSpaceDE w:val="0"/>
        <w:autoSpaceDN w:val="0"/>
        <w:bidi w:val="0"/>
        <w:adjustRightInd w:val="0"/>
        <w:snapToGrid w:val="0"/>
        <w:spacing w:line="460" w:lineRule="exact"/>
        <w:ind w:firstLine="482" w:firstLineChars="200"/>
        <w:jc w:val="left"/>
        <w:textAlignment w:val="baseline"/>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本项目需提供样品。</w:t>
      </w:r>
      <w:r>
        <w:rPr>
          <w:rFonts w:hint="default" w:ascii="Times New Roman" w:hAnsi="Times New Roman" w:eastAsia="宋体" w:cs="Times New Roman"/>
          <w:b/>
          <w:bCs/>
          <w:sz w:val="24"/>
          <w:szCs w:val="24"/>
          <w:lang w:val="en-US" w:eastAsia="zh-CN"/>
        </w:rPr>
        <w:t>制造商及产品质量符合性评审：评分低于80分（＜80分），则视为符合性审查不通过。具体评审标准如下：</w:t>
      </w:r>
    </w:p>
    <w:tbl>
      <w:tblPr>
        <w:tblStyle w:val="9"/>
        <w:tblW w:w="501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166"/>
        <w:gridCol w:w="1186"/>
      </w:tblGrid>
      <w:tr w14:paraId="4DD94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6" w:hRule="atLeast"/>
        </w:trPr>
        <w:tc>
          <w:tcPr>
            <w:tcW w:w="4289" w:type="pct"/>
            <w:noWrap w:val="0"/>
            <w:vAlign w:val="center"/>
          </w:tcPr>
          <w:p w14:paraId="2CAA6DC5">
            <w:pPr>
              <w:pStyle w:val="3"/>
              <w:pageBreakBefore w:val="0"/>
              <w:wordWrap/>
              <w:overflowPunct/>
              <w:topLinePunct w:val="0"/>
              <w:bidi w:val="0"/>
              <w:spacing w:line="460" w:lineRule="exact"/>
              <w:ind w:left="0" w:leftChars="0" w:firstLine="0" w:firstLineChars="0"/>
              <w:jc w:val="center"/>
              <w:rPr>
                <w:rFonts w:hint="default" w:ascii="Times New Roman" w:hAnsi="Times New Roman" w:eastAsia="宋体" w:cs="Times New Roman"/>
                <w:b/>
                <w:bCs/>
                <w:snapToGrid w:val="0"/>
                <w:color w:val="000000"/>
                <w:spacing w:val="0"/>
                <w:kern w:val="0"/>
                <w:sz w:val="24"/>
                <w:szCs w:val="24"/>
                <w:lang w:val="en-US" w:eastAsia="zh-CN" w:bidi="ar-SA"/>
              </w:rPr>
            </w:pPr>
            <w:r>
              <w:rPr>
                <w:rFonts w:hint="default" w:ascii="Times New Roman" w:hAnsi="Times New Roman" w:eastAsia="宋体" w:cs="Times New Roman"/>
                <w:b/>
                <w:bCs/>
                <w:snapToGrid w:val="0"/>
                <w:color w:val="000000"/>
                <w:spacing w:val="0"/>
                <w:kern w:val="0"/>
                <w:sz w:val="24"/>
                <w:szCs w:val="24"/>
                <w:lang w:val="en-US" w:eastAsia="zh-CN" w:bidi="ar-SA"/>
              </w:rPr>
              <w:t>评审标准</w:t>
            </w:r>
          </w:p>
        </w:tc>
        <w:tc>
          <w:tcPr>
            <w:tcW w:w="710" w:type="pct"/>
            <w:noWrap w:val="0"/>
            <w:vAlign w:val="center"/>
          </w:tcPr>
          <w:p w14:paraId="0A2A8573">
            <w:pPr>
              <w:pStyle w:val="3"/>
              <w:pageBreakBefore w:val="0"/>
              <w:wordWrap/>
              <w:overflowPunct/>
              <w:topLinePunct w:val="0"/>
              <w:bidi w:val="0"/>
              <w:spacing w:line="460" w:lineRule="exact"/>
              <w:ind w:left="0" w:leftChars="0" w:firstLine="0" w:firstLineChars="0"/>
              <w:jc w:val="center"/>
              <w:rPr>
                <w:rFonts w:hint="default" w:ascii="Times New Roman" w:hAnsi="Times New Roman" w:eastAsia="宋体" w:cs="Times New Roman"/>
                <w:b/>
                <w:bCs/>
                <w:snapToGrid w:val="0"/>
                <w:color w:val="000000"/>
                <w:spacing w:val="0"/>
                <w:kern w:val="0"/>
                <w:sz w:val="24"/>
                <w:szCs w:val="24"/>
                <w:lang w:val="en-US" w:eastAsia="zh-CN" w:bidi="ar-SA"/>
              </w:rPr>
            </w:pPr>
            <w:r>
              <w:rPr>
                <w:rFonts w:hint="default" w:ascii="Times New Roman" w:hAnsi="Times New Roman" w:eastAsia="宋体" w:cs="Times New Roman"/>
                <w:b/>
                <w:bCs/>
                <w:snapToGrid w:val="0"/>
                <w:color w:val="000000"/>
                <w:spacing w:val="0"/>
                <w:kern w:val="0"/>
                <w:sz w:val="24"/>
                <w:szCs w:val="24"/>
                <w:lang w:val="en-US" w:eastAsia="zh-CN" w:bidi="ar-SA"/>
              </w:rPr>
              <w:t>分值</w:t>
            </w:r>
          </w:p>
        </w:tc>
      </w:tr>
      <w:tr w14:paraId="5D23A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1" w:hRule="atLeast"/>
        </w:trPr>
        <w:tc>
          <w:tcPr>
            <w:tcW w:w="4289" w:type="pct"/>
            <w:noWrap w:val="0"/>
            <w:vAlign w:val="center"/>
          </w:tcPr>
          <w:p w14:paraId="6B98267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jc w:val="left"/>
              <w:textAlignment w:val="center"/>
              <w:rPr>
                <w:rFonts w:hint="default" w:ascii="Times New Roman" w:hAnsi="Times New Roman" w:eastAsia="宋体" w:cs="Times New Roman"/>
                <w:snapToGrid w:val="0"/>
                <w:color w:val="000000"/>
                <w:spacing w:val="0"/>
                <w:kern w:val="0"/>
                <w:sz w:val="24"/>
                <w:szCs w:val="24"/>
                <w:lang w:val="en-US" w:eastAsia="zh-CN" w:bidi="ar-SA"/>
              </w:rPr>
            </w:pPr>
            <w:r>
              <w:rPr>
                <w:rFonts w:hint="default" w:ascii="Times New Roman" w:hAnsi="Times New Roman" w:eastAsia="宋体" w:cs="Times New Roman"/>
                <w:snapToGrid w:val="0"/>
                <w:spacing w:val="0"/>
                <w:kern w:val="0"/>
                <w:sz w:val="24"/>
                <w:szCs w:val="24"/>
                <w:lang w:eastAsia="zh-CN" w:bidi="ar-SA"/>
              </w:rPr>
              <w:t>样品：由评标专家现场对货物样品的手感、感观效果、制作质量、工艺水 平等进行综合评价。</w:t>
            </w:r>
          </w:p>
          <w:p w14:paraId="126ED499">
            <w:pPr>
              <w:pStyle w:val="3"/>
              <w:pageBreakBefore w:val="0"/>
              <w:wordWrap/>
              <w:overflowPunct/>
              <w:topLinePunct w:val="0"/>
              <w:bidi w:val="0"/>
              <w:spacing w:line="460" w:lineRule="exact"/>
              <w:ind w:left="0" w:leftChars="0" w:firstLine="0" w:firstLineChars="0"/>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bCs/>
                <w:color w:val="000000"/>
                <w:kern w:val="0"/>
                <w:sz w:val="24"/>
                <w:szCs w:val="24"/>
                <w:lang w:val="en-US" w:eastAsia="zh-CN" w:bidi="en-US"/>
              </w:rPr>
              <w:t>(注：不同类型产品需分别提供样品，不同规格的同一类型产品，提供一个常用型号规格即可。所有样品需在外包装上注明投标单位，样品需密封，在开标时</w:t>
            </w:r>
            <w:r>
              <w:rPr>
                <w:rFonts w:hint="eastAsia" w:ascii="Times New Roman" w:hAnsi="Times New Roman" w:eastAsia="宋体" w:cs="Times New Roman"/>
                <w:b/>
                <w:bCs/>
                <w:color w:val="000000"/>
                <w:kern w:val="0"/>
                <w:sz w:val="24"/>
                <w:szCs w:val="24"/>
                <w:lang w:val="en-US" w:eastAsia="zh-CN" w:bidi="en-US"/>
              </w:rPr>
              <w:t>随标书一同</w:t>
            </w:r>
            <w:r>
              <w:rPr>
                <w:rFonts w:hint="default" w:ascii="Times New Roman" w:hAnsi="Times New Roman" w:eastAsia="宋体" w:cs="Times New Roman"/>
                <w:b/>
                <w:bCs/>
                <w:color w:val="000000"/>
                <w:kern w:val="0"/>
                <w:sz w:val="24"/>
                <w:szCs w:val="24"/>
                <w:lang w:val="en-US" w:eastAsia="zh-CN" w:bidi="en-US"/>
              </w:rPr>
              <w:t>提交</w:t>
            </w:r>
            <w:r>
              <w:rPr>
                <w:rFonts w:hint="eastAsia" w:ascii="Times New Roman" w:hAnsi="Times New Roman" w:eastAsia="宋体" w:cs="Times New Roman"/>
                <w:b/>
                <w:bCs/>
                <w:color w:val="000000"/>
                <w:kern w:val="0"/>
                <w:sz w:val="24"/>
                <w:szCs w:val="24"/>
                <w:lang w:val="en-US" w:eastAsia="zh-CN" w:bidi="en-US"/>
              </w:rPr>
              <w:t>。</w:t>
            </w:r>
            <w:r>
              <w:rPr>
                <w:rFonts w:hint="default" w:ascii="Times New Roman" w:hAnsi="Times New Roman" w:eastAsia="宋体" w:cs="Times New Roman"/>
                <w:b/>
                <w:bCs/>
                <w:color w:val="000000"/>
                <w:kern w:val="0"/>
                <w:sz w:val="24"/>
                <w:szCs w:val="24"/>
                <w:lang w:val="en-US" w:eastAsia="zh-CN" w:bidi="en-US"/>
              </w:rPr>
              <w:t>样品在结果公示期结束后一周内，</w:t>
            </w:r>
            <w:r>
              <w:rPr>
                <w:rFonts w:hint="eastAsia" w:ascii="Times New Roman" w:hAnsi="Times New Roman" w:eastAsia="宋体" w:cs="Times New Roman"/>
                <w:b/>
                <w:bCs/>
                <w:color w:val="000000"/>
                <w:kern w:val="0"/>
                <w:sz w:val="24"/>
                <w:szCs w:val="24"/>
                <w:lang w:val="en-US" w:eastAsia="zh-CN" w:bidi="en-US"/>
              </w:rPr>
              <w:t>可</w:t>
            </w:r>
            <w:r>
              <w:rPr>
                <w:rFonts w:hint="default" w:ascii="Times New Roman" w:hAnsi="Times New Roman" w:eastAsia="宋体" w:cs="Times New Roman"/>
                <w:b/>
                <w:bCs/>
                <w:color w:val="000000"/>
                <w:kern w:val="0"/>
                <w:sz w:val="24"/>
                <w:szCs w:val="24"/>
                <w:lang w:val="en-US" w:eastAsia="zh-CN" w:bidi="en-US"/>
              </w:rPr>
              <w:t>取回，逾期取回导致的样品丢失等后果，由投标人自行承担。</w:t>
            </w:r>
            <w:r>
              <w:rPr>
                <w:rFonts w:hint="eastAsia" w:ascii="Times New Roman" w:hAnsi="Times New Roman" w:eastAsia="宋体" w:cs="Times New Roman"/>
                <w:b/>
                <w:bCs/>
                <w:color w:val="000000"/>
                <w:kern w:val="0"/>
                <w:sz w:val="24"/>
                <w:szCs w:val="24"/>
                <w:lang w:val="en-US" w:eastAsia="zh-CN" w:bidi="en-US"/>
              </w:rPr>
              <w:t>）</w:t>
            </w:r>
            <w:r>
              <w:rPr>
                <w:rFonts w:hint="default" w:ascii="Times New Roman" w:hAnsi="Times New Roman" w:eastAsia="宋体" w:cs="Times New Roman"/>
                <w:b/>
                <w:bCs/>
                <w:color w:val="000000"/>
                <w:kern w:val="0"/>
                <w:sz w:val="24"/>
                <w:szCs w:val="24"/>
                <w:lang w:val="en-US" w:eastAsia="zh-CN" w:bidi="en-US"/>
              </w:rPr>
              <w:t>)</w:t>
            </w:r>
          </w:p>
        </w:tc>
        <w:tc>
          <w:tcPr>
            <w:tcW w:w="710" w:type="pct"/>
            <w:noWrap w:val="0"/>
            <w:vAlign w:val="center"/>
          </w:tcPr>
          <w:p w14:paraId="11E083D1">
            <w:pPr>
              <w:pStyle w:val="3"/>
              <w:pageBreakBefore w:val="0"/>
              <w:wordWrap/>
              <w:overflowPunct/>
              <w:topLinePunct w:val="0"/>
              <w:bidi w:val="0"/>
              <w:spacing w:line="460" w:lineRule="exact"/>
              <w:ind w:left="0" w:leftChars="0" w:firstLine="0" w:firstLineChars="0"/>
              <w:jc w:val="center"/>
              <w:rPr>
                <w:rFonts w:hint="default" w:ascii="Times New Roman" w:hAnsi="Times New Roman" w:eastAsia="宋体" w:cs="Times New Roman"/>
                <w:b/>
                <w:bCs/>
                <w:snapToGrid w:val="0"/>
                <w:color w:val="000000"/>
                <w:spacing w:val="0"/>
                <w:kern w:val="0"/>
                <w:sz w:val="24"/>
                <w:szCs w:val="24"/>
                <w:lang w:val="en-US" w:eastAsia="zh-CN" w:bidi="ar-SA"/>
              </w:rPr>
            </w:pPr>
            <w:r>
              <w:rPr>
                <w:rFonts w:hint="default" w:ascii="Times New Roman" w:hAnsi="Times New Roman" w:eastAsia="宋体" w:cs="Times New Roman"/>
                <w:b/>
                <w:bCs/>
                <w:snapToGrid w:val="0"/>
                <w:color w:val="000000"/>
                <w:spacing w:val="0"/>
                <w:kern w:val="0"/>
                <w:sz w:val="24"/>
                <w:szCs w:val="24"/>
                <w:lang w:val="en-US" w:eastAsia="zh-CN" w:bidi="ar-SA"/>
              </w:rPr>
              <w:t>0-100分</w:t>
            </w:r>
          </w:p>
        </w:tc>
      </w:tr>
    </w:tbl>
    <w:p w14:paraId="4E10F602">
      <w:pPr>
        <w:keepNext w:val="0"/>
        <w:keepLines w:val="0"/>
        <w:pageBreakBefore w:val="0"/>
        <w:widowControl/>
        <w:kinsoku w:val="0"/>
        <w:wordWrap/>
        <w:overflowPunct/>
        <w:topLinePunct w:val="0"/>
        <w:autoSpaceDE w:val="0"/>
        <w:autoSpaceDN w:val="0"/>
        <w:bidi w:val="0"/>
        <w:adjustRightInd w:val="0"/>
        <w:snapToGrid w:val="0"/>
        <w:spacing w:line="460" w:lineRule="exact"/>
        <w:ind w:firstLine="482" w:firstLineChars="200"/>
        <w:jc w:val="left"/>
        <w:textAlignment w:val="baseline"/>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（如有满足要求的多个型号可提供，需按照统一单价进行报价，具体规格型号可在分项报价表中注明）</w:t>
      </w:r>
    </w:p>
    <w:p w14:paraId="7F3501C2">
      <w:pPr>
        <w:bidi w:val="0"/>
        <w:rPr>
          <w:rFonts w:hint="eastAsia" w:ascii="宋体" w:hAnsi="宋体" w:eastAsia="宋体" w:cs="宋体"/>
          <w:b/>
          <w:bCs/>
          <w:color w:val="000000"/>
          <w:highlight w:val="none"/>
          <w:lang w:val="en-US" w:eastAsia="zh-CN"/>
        </w:rPr>
      </w:pPr>
    </w:p>
    <w:p w14:paraId="038A02F1">
      <w:pPr>
        <w:bidi w:val="0"/>
        <w:rPr>
          <w:rFonts w:hint="eastAsia" w:ascii="宋体" w:hAnsi="宋体" w:eastAsia="宋体" w:cs="宋体"/>
          <w:b/>
          <w:bCs/>
          <w:color w:val="000000"/>
          <w:highlight w:val="none"/>
          <w:lang w:val="en-US" w:eastAsia="zh-CN"/>
        </w:rPr>
      </w:pPr>
      <w:r>
        <w:rPr>
          <w:rFonts w:hint="eastAsia" w:ascii="宋体" w:hAnsi="宋体" w:eastAsia="宋体" w:cs="宋体"/>
          <w:b/>
          <w:bCs/>
          <w:color w:val="000000"/>
          <w:highlight w:val="none"/>
          <w:lang w:val="en-US" w:eastAsia="zh-CN"/>
        </w:rPr>
        <w:t>注：以上技术要求为必须满足项，否则作无效响应处理。</w:t>
      </w:r>
    </w:p>
    <w:p w14:paraId="721FCA49">
      <w:pPr>
        <w:bidi w:val="0"/>
        <w:rPr>
          <w:rFonts w:hint="eastAsia" w:ascii="宋体" w:hAnsi="宋体" w:eastAsia="宋体" w:cs="宋体"/>
          <w:b/>
          <w:bCs/>
          <w:color w:val="000000"/>
          <w:highlight w:val="none"/>
          <w:lang w:val="en-US" w:eastAsia="zh-CN"/>
        </w:rPr>
      </w:pPr>
    </w:p>
    <w:p w14:paraId="4DC89AAF">
      <w:pPr>
        <w:pStyle w:val="2"/>
        <w:keepNext/>
        <w:keepLines/>
        <w:pageBreakBefore w:val="0"/>
        <w:widowControl w:val="0"/>
        <w:numPr>
          <w:ilvl w:val="0"/>
          <w:numId w:val="1"/>
        </w:numPr>
        <w:kinsoku/>
        <w:wordWrap/>
        <w:overflowPunct/>
        <w:topLinePunct w:val="0"/>
        <w:autoSpaceDE/>
        <w:autoSpaceDN/>
        <w:bidi w:val="0"/>
        <w:adjustRightInd/>
        <w:snapToGrid/>
        <w:spacing w:before="260" w:after="260" w:line="360" w:lineRule="auto"/>
        <w:jc w:val="center"/>
        <w:textAlignment w:val="auto"/>
        <w:rPr>
          <w:rFonts w:hint="eastAsia" w:ascii="宋体" w:hAnsi="宋体" w:eastAsia="宋体" w:cs="宋体"/>
          <w:b/>
          <w:bCs/>
          <w:color w:val="000000"/>
          <w:kern w:val="44"/>
          <w:sz w:val="28"/>
          <w:szCs w:val="28"/>
          <w:highlight w:val="none"/>
          <w:lang w:val="en-US" w:eastAsia="zh-CN"/>
        </w:rPr>
      </w:pPr>
      <w:bookmarkStart w:id="3" w:name="_Toc4145"/>
      <w:bookmarkStart w:id="4" w:name="_Toc18231"/>
      <w:bookmarkStart w:id="5" w:name="_Toc30681"/>
      <w:r>
        <w:rPr>
          <w:rFonts w:hint="eastAsia" w:ascii="宋体" w:hAnsi="宋体" w:eastAsia="宋体" w:cs="宋体"/>
          <w:b/>
          <w:bCs/>
          <w:color w:val="000000"/>
          <w:kern w:val="44"/>
          <w:sz w:val="28"/>
          <w:szCs w:val="28"/>
          <w:highlight w:val="none"/>
          <w:lang w:val="en-US" w:eastAsia="zh-CN"/>
        </w:rPr>
        <w:t>商务要求</w:t>
      </w:r>
      <w:bookmarkEnd w:id="3"/>
      <w:bookmarkEnd w:id="4"/>
      <w:bookmarkEnd w:id="5"/>
    </w:p>
    <w:p w14:paraId="51EEB9A6">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sz w:val="24"/>
          <w:szCs w:val="24"/>
          <w:highlight w:val="none"/>
        </w:rPr>
      </w:pPr>
      <w:r>
        <w:rPr>
          <w:rFonts w:hint="eastAsia" w:ascii="宋体" w:hAnsi="宋体" w:eastAsia="宋体" w:cs="宋体"/>
          <w:i w:val="0"/>
          <w:iCs/>
          <w:sz w:val="24"/>
          <w:szCs w:val="24"/>
          <w:u w:val="none"/>
        </w:rPr>
        <w:t>付款</w:t>
      </w:r>
      <w:r>
        <w:rPr>
          <w:rFonts w:hint="eastAsia" w:ascii="宋体" w:hAnsi="宋体" w:eastAsia="宋体" w:cs="宋体"/>
          <w:b w:val="0"/>
          <w:bCs/>
          <w:sz w:val="24"/>
          <w:szCs w:val="24"/>
          <w:highlight w:val="none"/>
        </w:rPr>
        <w:t>方式：</w:t>
      </w:r>
    </w:p>
    <w:p w14:paraId="5484184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1、本合同价格为</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入库价，已包含所有费用（含产品费、运输费、装卸费以及各项适用的税金，及需要向其他方支付的有关专利权、版权、设计或其他知识产权等全部费用）。</w:t>
      </w:r>
    </w:p>
    <w:p w14:paraId="0804BF4F">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w:t>
      </w:r>
      <w:r>
        <w:rPr>
          <w:rFonts w:hint="eastAsia" w:ascii="宋体" w:hAnsi="宋体" w:cs="宋体"/>
          <w:sz w:val="24"/>
          <w:szCs w:val="24"/>
          <w:highlight w:val="none"/>
          <w:lang w:val="en-US" w:eastAsia="zh-CN"/>
        </w:rPr>
        <w:t>本项目所有数量为预估数量，最终结算金额以实际发生数量为准。</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正常供货且无质量等争议的情况下，方可执行付款。所供产品按实际采购金额结算后，由</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向</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提供全额增值税普通发票，</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凭发票等票据办理付款手续。</w:t>
      </w:r>
    </w:p>
    <w:p w14:paraId="4D075844">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2.交货期：</w:t>
      </w:r>
      <w:r>
        <w:rPr>
          <w:rFonts w:hint="eastAsia" w:ascii="宋体" w:hAnsi="宋体" w:eastAsia="宋体" w:cs="宋体"/>
          <w:sz w:val="24"/>
          <w:szCs w:val="24"/>
          <w:highlight w:val="none"/>
        </w:rPr>
        <w:t>所有货物按医院计划交货，在收到用户提交的计划采购清单后7个工作日内交货到指定的地点，并承担全部运输费用。如因乙方逾期供货给甲方临床医疗工作造成不良影响或者后果时，甲方可终止与乙方的所有供货业务关系。</w:t>
      </w:r>
    </w:p>
    <w:p w14:paraId="0BA171F2">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3.交货地点：</w:t>
      </w:r>
      <w:r>
        <w:rPr>
          <w:rFonts w:hint="eastAsia" w:ascii="宋体" w:hAnsi="宋体" w:eastAsia="宋体" w:cs="宋体"/>
          <w:sz w:val="24"/>
          <w:szCs w:val="24"/>
          <w:highlight w:val="none"/>
          <w:lang w:eastAsia="zh-CN"/>
        </w:rPr>
        <w:t>采购人指定地点。</w:t>
      </w:r>
    </w:p>
    <w:p w14:paraId="1A4CD08D">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4.合同时间：自合同签订之日起  3  年内，根据采购人要求完成供货及交付。 本项目供货期三年，合同结束时间以供货期或完成合同采购金额时间先到为准。从合同签订日期算起按实际采购金额结算。 在合同期间，由于集采等国家相关政策调整，无法按本合同条款执行时，将自动终止本合同部分或全部内容并严格按国家政策规定执行。</w:t>
      </w:r>
    </w:p>
    <w:p w14:paraId="55D2F5AD">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5.货物验收：货物运送至采购人指定的交货地点后，由供应商和采购人进行联合验收，在此期间如发现货物有破损，供应商应立即予以更换（费用由供应商承担）；到货数量以收货地点实际验收数量为准。</w:t>
      </w:r>
    </w:p>
    <w:p w14:paraId="12F89F42">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 xml:space="preserve">、质量保证 </w:t>
      </w:r>
    </w:p>
    <w:p w14:paraId="0F7DF544">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.1 供应商所提供的货物必须为原生产厂家的全新产品，所供物资质量必须达到国家或部颁标准，严禁提供假冒伪劣产品，所投货物性能稳定，确保我院设备能正常使用，保证检验结果准确。</w:t>
      </w:r>
    </w:p>
    <w:p w14:paraId="63BB36CB">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 xml:space="preserve">.2 质保期：验收合格后一年。在规定的质保期内，供应商对所供产品由于制造或材料缺陷而发生的任何损失负责。 </w:t>
      </w:r>
    </w:p>
    <w:p w14:paraId="45D61736">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.3 实际使用过程中如因产品原因出现异常情况，供应商应请厂家专家来江西中医药大学附属医院协助解决，一切费用由供应商负责。</w:t>
      </w:r>
    </w:p>
    <w:p w14:paraId="1FFC6084">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.4实际使用过程中如因供应商提供货物造成设备的异常及损坏，所有损失由供应商承担。</w:t>
      </w:r>
    </w:p>
    <w:p w14:paraId="48308865">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5参与投标的产品获得了医保医用耗材/试剂代码的必须在江西药品和医用耗材招采管理系统挂网采购目录内，挂网状态且为正在执行。或中标通知书发布之日起3个月内完成中标产品挂网，若未完成本合同自动终止。（挂网状态处于正在执行状态的需在投标文件中提供江西省药品和医用耗材招采管理系统挂网信息截图；已上报平台但未公示的产品需提供相关产品的平台上报凭证；未挂网的需提供承诺函，承诺中标通知书发布之日起3个月内完成中标产品挂网，若未提供视为无效响应。）</w:t>
      </w:r>
    </w:p>
    <w:p w14:paraId="2FFE33DD">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、供货标准及质量保证</w:t>
      </w:r>
    </w:p>
    <w:p w14:paraId="10263AD4">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color w:val="000000"/>
          <w:sz w:val="24"/>
          <w:szCs w:val="24"/>
          <w:highlight w:val="none"/>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.1、</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必须具有履行本合同全部义务所要求的资质和授权，必须向</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提供相关证书材料，包括但不限于：</w:t>
      </w:r>
      <w:r>
        <w:rPr>
          <w:rFonts w:hint="eastAsia" w:ascii="宋体" w:hAnsi="宋体" w:eastAsia="宋体" w:cs="宋体"/>
          <w:color w:val="000000"/>
          <w:sz w:val="24"/>
          <w:szCs w:val="24"/>
          <w:highlight w:val="none"/>
          <w:lang w:eastAsia="zh-CN"/>
        </w:rPr>
        <w:t>资格条件中要求所有材料</w:t>
      </w:r>
      <w:r>
        <w:rPr>
          <w:rFonts w:hint="eastAsia" w:ascii="宋体" w:hAnsi="宋体" w:eastAsia="宋体" w:cs="宋体"/>
          <w:color w:val="000000"/>
          <w:sz w:val="24"/>
          <w:szCs w:val="24"/>
          <w:highlight w:val="none"/>
        </w:rPr>
        <w:t>复印件，代理服务授权书、法人授权委托书、受委托人身份证复印件等相关材料并加盖单位公章。</w:t>
      </w:r>
    </w:p>
    <w:p w14:paraId="11C5669E">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.2、供应商所提供的产品质量应符合国家有关监督管理部门的标准及行业标准，并与投标或者议价时所承诺的质量相一致，以确保临床使用安全有效。一旦发现不合格产品存在严重质量问题或安全隐患，</w:t>
      </w:r>
      <w:r>
        <w:rPr>
          <w:rFonts w:hint="eastAsia" w:ascii="宋体" w:hAnsi="宋体" w:cs="宋体"/>
          <w:sz w:val="24"/>
          <w:szCs w:val="24"/>
          <w:highlight w:val="none"/>
          <w:lang w:val="en-US" w:eastAsia="zh-CN"/>
        </w:rPr>
        <w:t>采购人</w:t>
      </w:r>
      <w:r>
        <w:rPr>
          <w:rFonts w:hint="eastAsia" w:ascii="宋体" w:hAnsi="宋体" w:eastAsia="宋体" w:cs="宋体"/>
          <w:sz w:val="24"/>
          <w:szCs w:val="24"/>
          <w:highlight w:val="none"/>
          <w:lang w:val="en-US" w:eastAsia="zh-CN"/>
        </w:rPr>
        <w:t>将对</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处以1万元罚款,若不缴纳本合同自动终止。</w:t>
      </w:r>
    </w:p>
    <w:p w14:paraId="48B38FB4">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.3、采购人在接收产品时，如发现质量标准、有效期、包装和订单数量不符合要求的产品，有权拒绝接收；供应商应及时更换被拒绝的耗材产品，不得影响采购人临床使用。</w:t>
      </w:r>
    </w:p>
    <w:p w14:paraId="74B0D6B6">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.其他要求：</w:t>
      </w:r>
    </w:p>
    <w:p w14:paraId="2326C924">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.1所提供产品必须具有在中国境内的合法使用权和用户保护权，符合国家有关监督管理部门规定的标准要求，如产生争议其责任由供应商全部承担。</w:t>
      </w:r>
    </w:p>
    <w:p w14:paraId="3B6C05CC">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.2提供产品均应按国家规定的标准进行包装，包装、标签、说明书符合国家标准。</w:t>
      </w:r>
    </w:p>
    <w:p w14:paraId="4769AC80">
      <w:pPr>
        <w:pStyle w:val="6"/>
        <w:keepNext w:val="0"/>
        <w:keepLines w:val="0"/>
        <w:pageBreakBefore w:val="0"/>
        <w:widowControl w:val="0"/>
        <w:kinsoku/>
        <w:wordWrap/>
        <w:overflowPunct/>
        <w:topLinePunct w:val="0"/>
        <w:autoSpaceDE/>
        <w:autoSpaceDN/>
        <w:bidi w:val="0"/>
        <w:adjustRightInd/>
        <w:snapToGrid/>
        <w:spacing w:after="0" w:line="460" w:lineRule="exact"/>
        <w:ind w:left="0" w:leftChars="0" w:firstLine="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8</w:t>
      </w:r>
      <w:r>
        <w:rPr>
          <w:rFonts w:hint="eastAsia" w:ascii="宋体" w:hAnsi="宋体" w:eastAsia="宋体" w:cs="宋体"/>
          <w:kern w:val="2"/>
          <w:sz w:val="24"/>
          <w:szCs w:val="24"/>
          <w:highlight w:val="none"/>
          <w:lang w:val="en-US" w:eastAsia="zh-CN" w:bidi="ar-SA"/>
        </w:rPr>
        <w:t>.3 供应商须在响应文件中承诺所投产品销售价格为全省最低价，未承诺视为无效响应。在合同期内，同品牌同规格同型号医用耗材的价格省内医院的价格低于采购人采购价，供应商应立即无条件告知采购人调价，并签订补充协议，如被发现不及时调整价格的将给于供应商1万元罚款，若不缴纳本合同自动终止。（响应文件中单独提供承诺函，格式详见：全省最低报价承诺书）。</w:t>
      </w:r>
    </w:p>
    <w:p w14:paraId="24C9B745">
      <w:pPr>
        <w:pStyle w:val="6"/>
        <w:keepNext w:val="0"/>
        <w:keepLines w:val="0"/>
        <w:pageBreakBefore w:val="0"/>
        <w:widowControl w:val="0"/>
        <w:kinsoku/>
        <w:wordWrap/>
        <w:overflowPunct/>
        <w:topLinePunct w:val="0"/>
        <w:autoSpaceDE/>
        <w:autoSpaceDN/>
        <w:bidi w:val="0"/>
        <w:adjustRightInd/>
        <w:snapToGrid/>
        <w:spacing w:after="0" w:line="460" w:lineRule="exact"/>
        <w:ind w:left="0" w:leftChars="0" w:firstLine="0" w:firstLineChars="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8.4 供应商购销廉洁承诺：本公司的法定代表人、执行董事、股东主要人员与江西中医药大学附属医院在职在编职工不存在配偶、直系亲属关系。供应商须在响应文件中承诺。（响应文件中单独提供承诺函，格式详见：购销廉洁承诺书）。</w:t>
      </w:r>
    </w:p>
    <w:p w14:paraId="59271B4F">
      <w:pPr>
        <w:pStyle w:val="6"/>
        <w:keepNext w:val="0"/>
        <w:keepLines w:val="0"/>
        <w:pageBreakBefore w:val="0"/>
        <w:widowControl w:val="0"/>
        <w:kinsoku/>
        <w:wordWrap/>
        <w:overflowPunct/>
        <w:topLinePunct w:val="0"/>
        <w:autoSpaceDE/>
        <w:autoSpaceDN/>
        <w:bidi w:val="0"/>
        <w:adjustRightInd/>
        <w:snapToGrid/>
        <w:spacing w:after="0" w:line="460" w:lineRule="exact"/>
        <w:ind w:left="0" w:leftChars="0" w:firstLine="0" w:firstLineChars="0"/>
        <w:textAlignment w:val="auto"/>
        <w:rPr>
          <w:rFonts w:hint="default" w:ascii="宋体" w:hAnsi="宋体" w:eastAsia="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8.5 供应商诚信承诺：本公司未被列入江西中医药大学附属医院、江西省卫生健康委员会失信名单。供应商须在响应文件中承诺。（响应文件中单独提供承诺函）。</w:t>
      </w:r>
    </w:p>
    <w:p w14:paraId="65C3CD38">
      <w:pPr>
        <w:spacing w:line="560" w:lineRule="exact"/>
        <w:ind w:firstLine="482" w:firstLineChars="20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highlight w:val="none"/>
          <w:lang w:val="en-US" w:eastAsia="zh-CN"/>
        </w:rPr>
        <w:t>注：以上商务要求为必须满足项，否则作无效响应处理。</w:t>
      </w:r>
    </w:p>
    <w:p w14:paraId="557EC22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7395E7"/>
    <w:multiLevelType w:val="singleLevel"/>
    <w:tmpl w:val="907395E7"/>
    <w:lvl w:ilvl="0" w:tentative="0">
      <w:start w:val="1"/>
      <w:numFmt w:val="decimal"/>
      <w:lvlText w:val="%1."/>
      <w:lvlJc w:val="left"/>
      <w:pPr>
        <w:tabs>
          <w:tab w:val="left" w:pos="312"/>
        </w:tabs>
      </w:pPr>
    </w:lvl>
  </w:abstractNum>
  <w:abstractNum w:abstractNumId="1">
    <w:nsid w:val="48F705F0"/>
    <w:multiLevelType w:val="singleLevel"/>
    <w:tmpl w:val="48F705F0"/>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FD5F2C"/>
    <w:rsid w:val="4F2C1739"/>
    <w:rsid w:val="5CD956D7"/>
    <w:rsid w:val="643E204F"/>
    <w:rsid w:val="6C1419C3"/>
    <w:rsid w:val="6FE94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4"/>
    <w:basedOn w:val="1"/>
    <w:next w:val="1"/>
    <w:qFormat/>
    <w:uiPriority w:val="9"/>
    <w:pPr>
      <w:keepNext/>
      <w:keepLines/>
      <w:spacing w:line="240" w:lineRule="atLeast"/>
      <w:ind w:firstLine="200" w:firstLineChars="200"/>
      <w:outlineLvl w:val="3"/>
    </w:pPr>
    <w:rPr>
      <w:rFonts w:ascii="Cambria" w:hAnsi="Cambria"/>
      <w:b/>
      <w:bCs/>
      <w:kern w:val="0"/>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unhideWhenUsed/>
    <w:qFormat/>
    <w:uiPriority w:val="0"/>
    <w:pPr>
      <w:spacing w:after="120"/>
    </w:pPr>
    <w:rPr>
      <w:rFonts w:ascii="Calibri" w:hAnsi="Calibri"/>
      <w:kern w:val="0"/>
      <w:sz w:val="20"/>
      <w:szCs w:val="20"/>
    </w:rPr>
  </w:style>
  <w:style w:type="paragraph" w:styleId="6">
    <w:name w:val="Body Text First Indent"/>
    <w:basedOn w:val="5"/>
    <w:qFormat/>
    <w:uiPriority w:val="0"/>
    <w:pPr>
      <w:ind w:firstLine="420" w:firstLineChars="100"/>
    </w:pPr>
  </w:style>
  <w:style w:type="table" w:customStyle="1" w:styleId="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2380</Words>
  <Characters>2478</Characters>
  <Lines>0</Lines>
  <Paragraphs>0</Paragraphs>
  <TotalTime>0</TotalTime>
  <ScaleCrop>false</ScaleCrop>
  <LinksUpToDate>false</LinksUpToDate>
  <CharactersWithSpaces>2496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2026-03-13T02:40:00Z</dcterms:created>
  <dc:creator>Administrator</dc:creator>
  <cp:lastModifiedBy>吴昌俊</cp:lastModifiedBy>
  <dcterms:modified xsi:type="dcterms:W3CDTF">2026-06-02T06:44:44Z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eyJoZGlkIjoiYzZiZTBmNGEwN2E3MDFkOWM0MDVkMWY2NGI2ODRmM2IiLCJ1c2VySWQiOiI0NTI1OTk5MjcifQ==</vt:lpwstr>
  </property>
  <property fmtid="{D5CDD505-2E9C-101B-9397-08002B2CF9AE}" pid="4" name="ICV">
    <vt:lpwstr>FA95D9CA14E943B6AB4E335BAE0F8CCD_12</vt:lpwstr>
  </property>
</Properties>
</file>