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4EC3E">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left"/>
        <w:rPr>
          <w:rFonts w:hint="eastAsia"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附件一：</w:t>
      </w:r>
    </w:p>
    <w:tbl>
      <w:tblPr>
        <w:tblStyle w:val="3"/>
        <w:tblW w:w="9868" w:type="dxa"/>
        <w:tblInd w:w="-434" w:type="dxa"/>
        <w:tblLayout w:type="fixed"/>
        <w:tblCellMar>
          <w:top w:w="0" w:type="dxa"/>
          <w:left w:w="108" w:type="dxa"/>
          <w:bottom w:w="0" w:type="dxa"/>
          <w:right w:w="108" w:type="dxa"/>
        </w:tblCellMar>
      </w:tblPr>
      <w:tblGrid>
        <w:gridCol w:w="988"/>
        <w:gridCol w:w="7337"/>
        <w:gridCol w:w="735"/>
        <w:gridCol w:w="808"/>
      </w:tblGrid>
      <w:tr w14:paraId="59409BD7">
        <w:tblPrEx>
          <w:tblCellMar>
            <w:top w:w="0" w:type="dxa"/>
            <w:left w:w="108" w:type="dxa"/>
            <w:bottom w:w="0" w:type="dxa"/>
            <w:right w:w="108" w:type="dxa"/>
          </w:tblCellMar>
        </w:tblPrEx>
        <w:trPr>
          <w:trHeight w:val="480" w:hRule="atLeast"/>
        </w:trPr>
        <w:tc>
          <w:tcPr>
            <w:tcW w:w="986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17A6">
            <w:pPr>
              <w:widowControl/>
              <w:spacing w:line="300" w:lineRule="exact"/>
              <w:ind w:firstLine="3935" w:firstLineChars="1400"/>
              <w:jc w:val="both"/>
              <w:textAlignment w:val="center"/>
              <w:rPr>
                <w:rFonts w:hint="eastAsia" w:ascii="宋体" w:hAnsi="宋体" w:cs="宋体"/>
                <w:b/>
                <w:bCs/>
                <w:color w:val="000000" w:themeColor="text1"/>
                <w:kern w:val="0"/>
                <w:sz w:val="24"/>
                <w:szCs w:val="24"/>
                <w:lang w:bidi="ar"/>
                <w14:textFill>
                  <w14:solidFill>
                    <w14:schemeClr w14:val="tx1"/>
                  </w14:solidFill>
                </w14:textFill>
              </w:rPr>
            </w:pPr>
            <w:r>
              <w:rPr>
                <w:rFonts w:hint="eastAsia" w:ascii="宋体" w:hAnsi="宋体" w:cs="Arial"/>
                <w:b/>
                <w:bCs/>
                <w:color w:val="000000" w:themeColor="text1"/>
                <w:kern w:val="2"/>
                <w:sz w:val="28"/>
                <w:szCs w:val="28"/>
                <w:lang w:val="en-US" w:eastAsia="zh-CN" w:bidi="ar-SA"/>
                <w14:textFill>
                  <w14:solidFill>
                    <w14:schemeClr w14:val="tx1"/>
                  </w14:solidFill>
                </w14:textFill>
              </w:rPr>
              <w:t>技术要求</w:t>
            </w:r>
          </w:p>
        </w:tc>
      </w:tr>
      <w:tr w14:paraId="38EDE91D">
        <w:tblPrEx>
          <w:tblCellMar>
            <w:top w:w="0" w:type="dxa"/>
            <w:left w:w="108" w:type="dxa"/>
            <w:bottom w:w="0" w:type="dxa"/>
            <w:right w:w="108" w:type="dxa"/>
          </w:tblCellMar>
        </w:tblPrEx>
        <w:trPr>
          <w:trHeight w:val="480"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19D94">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Theme="minorEastAsia" w:hAnsiTheme="minorEastAsia" w:eastAsiaTheme="minorEastAsia" w:cstheme="minorEastAsia"/>
                <w:b/>
                <w:bCs/>
                <w:color w:val="000000"/>
                <w:kern w:val="0"/>
                <w:sz w:val="24"/>
                <w:szCs w:val="24"/>
                <w:lang w:val="en-US" w:eastAsia="zh-CN" w:bidi="ar"/>
              </w:rPr>
            </w:pPr>
            <w:r>
              <w:rPr>
                <w:rFonts w:hint="eastAsia" w:asciiTheme="minorEastAsia" w:hAnsiTheme="minorEastAsia" w:eastAsiaTheme="minorEastAsia" w:cstheme="minorEastAsia"/>
                <w:b/>
                <w:bCs/>
                <w:color w:val="000000"/>
                <w:kern w:val="0"/>
                <w:sz w:val="24"/>
                <w:szCs w:val="24"/>
                <w:lang w:val="en-US" w:eastAsia="zh-CN" w:bidi="ar"/>
              </w:rPr>
              <w:t>品目：</w:t>
            </w:r>
          </w:p>
        </w:tc>
        <w:tc>
          <w:tcPr>
            <w:tcW w:w="7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2F2D">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left"/>
              <w:rPr>
                <w:rFonts w:hint="default" w:asciiTheme="minorEastAsia" w:hAnsiTheme="minorEastAsia" w:eastAsiaTheme="minorEastAsia" w:cstheme="minorEastAsia"/>
                <w:b/>
                <w:bCs/>
                <w:color w:val="000000"/>
                <w:kern w:val="0"/>
                <w:sz w:val="24"/>
                <w:szCs w:val="24"/>
                <w:lang w:val="en-US" w:eastAsia="zh-CN" w:bidi="ar"/>
              </w:rPr>
            </w:pPr>
            <w:r>
              <w:rPr>
                <w:rFonts w:hint="eastAsia" w:ascii="宋体" w:hAnsi="宋体" w:cs="宋体"/>
                <w:b/>
                <w:bCs w:val="0"/>
                <w:sz w:val="24"/>
                <w:szCs w:val="24"/>
                <w:lang w:val="en-US" w:eastAsia="zh-CN"/>
              </w:rPr>
              <w:t>2-8℃医用冷藏柜</w:t>
            </w:r>
          </w:p>
        </w:tc>
        <w:tc>
          <w:tcPr>
            <w:tcW w:w="735" w:type="dxa"/>
            <w:tcBorders>
              <w:top w:val="single" w:color="000000" w:sz="4" w:space="0"/>
              <w:left w:val="single" w:color="000000" w:sz="4" w:space="0"/>
              <w:bottom w:val="single" w:color="000000" w:sz="4" w:space="0"/>
              <w:right w:val="single" w:color="000000" w:sz="4" w:space="0"/>
            </w:tcBorders>
          </w:tcPr>
          <w:p w14:paraId="3FEA6EE1">
            <w:pPr>
              <w:widowControl/>
              <w:spacing w:line="300" w:lineRule="exact"/>
              <w:jc w:val="left"/>
              <w:textAlignment w:val="center"/>
              <w:rPr>
                <w:rFonts w:ascii="宋体" w:hAnsi="宋体" w:cs="宋体"/>
                <w:b/>
                <w:bCs/>
                <w:color w:val="000000" w:themeColor="text1"/>
                <w:kern w:val="0"/>
                <w:sz w:val="24"/>
                <w:szCs w:val="24"/>
                <w:lang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808" w:type="dxa"/>
            <w:tcBorders>
              <w:top w:val="single" w:color="000000" w:sz="4" w:space="0"/>
              <w:left w:val="single" w:color="000000" w:sz="4" w:space="0"/>
              <w:bottom w:val="single" w:color="000000" w:sz="4" w:space="0"/>
              <w:right w:val="single" w:color="000000" w:sz="4" w:space="0"/>
            </w:tcBorders>
          </w:tcPr>
          <w:p w14:paraId="1BC2263C">
            <w:pPr>
              <w:widowControl/>
              <w:spacing w:line="300" w:lineRule="exact"/>
              <w:jc w:val="left"/>
              <w:textAlignment w:val="center"/>
              <w:rPr>
                <w:rFonts w:ascii="宋体" w:hAnsi="宋体" w:cs="宋体"/>
                <w:b/>
                <w:bCs/>
                <w:color w:val="000000" w:themeColor="text1"/>
                <w:kern w:val="0"/>
                <w:sz w:val="24"/>
                <w:szCs w:val="24"/>
                <w:lang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0498E52F">
        <w:tblPrEx>
          <w:tblCellMar>
            <w:top w:w="0" w:type="dxa"/>
            <w:left w:w="108" w:type="dxa"/>
            <w:bottom w:w="0" w:type="dxa"/>
            <w:right w:w="108" w:type="dxa"/>
          </w:tblCellMar>
        </w:tblPrEx>
        <w:trPr>
          <w:trHeight w:val="383" w:hRule="atLeast"/>
        </w:trPr>
        <w:tc>
          <w:tcPr>
            <w:tcW w:w="988" w:type="dxa"/>
            <w:tcBorders>
              <w:top w:val="single" w:color="auto" w:sz="4" w:space="0"/>
              <w:left w:val="single" w:color="auto" w:sz="4" w:space="0"/>
              <w:bottom w:val="single" w:color="auto" w:sz="4" w:space="0"/>
              <w:right w:val="single" w:color="auto" w:sz="4" w:space="0"/>
            </w:tcBorders>
            <w:vAlign w:val="center"/>
          </w:tcPr>
          <w:p w14:paraId="1832A78B">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7337" w:type="dxa"/>
            <w:tcBorders>
              <w:top w:val="single" w:color="auto" w:sz="4" w:space="0"/>
              <w:left w:val="single" w:color="auto" w:sz="4" w:space="0"/>
              <w:bottom w:val="single" w:color="auto" w:sz="4" w:space="0"/>
              <w:right w:val="single" w:color="auto" w:sz="4" w:space="0"/>
            </w:tcBorders>
            <w:vAlign w:val="center"/>
          </w:tcPr>
          <w:p w14:paraId="48E3D0F0">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有效容积≥800升，款式：立式，开门方式：两门对开玻璃门. 微电脑控制，数码显示箱内温度，显示精度0.1℃。</w:t>
            </w:r>
          </w:p>
        </w:tc>
        <w:tc>
          <w:tcPr>
            <w:tcW w:w="735" w:type="dxa"/>
            <w:tcBorders>
              <w:top w:val="single" w:color="auto" w:sz="4" w:space="0"/>
              <w:left w:val="single" w:color="auto" w:sz="4" w:space="0"/>
              <w:bottom w:val="single" w:color="auto" w:sz="4" w:space="0"/>
              <w:right w:val="single" w:color="auto" w:sz="4" w:space="0"/>
            </w:tcBorders>
            <w:vAlign w:val="top"/>
          </w:tcPr>
          <w:p w14:paraId="4360C307">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21E0403F">
            <w:pPr>
              <w:spacing w:line="360" w:lineRule="auto"/>
              <w:rPr>
                <w:rFonts w:hint="eastAsia" w:ascii="宋体" w:hAnsi="宋体" w:eastAsia="宋体" w:cs="宋体"/>
                <w:sz w:val="24"/>
                <w:szCs w:val="24"/>
                <w:lang w:val="en-US" w:eastAsia="zh-CN"/>
              </w:rPr>
            </w:pPr>
          </w:p>
        </w:tc>
      </w:tr>
      <w:tr w14:paraId="582C066C">
        <w:tblPrEx>
          <w:tblCellMar>
            <w:top w:w="0" w:type="dxa"/>
            <w:left w:w="108" w:type="dxa"/>
            <w:bottom w:w="0" w:type="dxa"/>
            <w:right w:w="108" w:type="dxa"/>
          </w:tblCellMar>
        </w:tblPrEx>
        <w:trPr>
          <w:trHeight w:val="435" w:hRule="atLeast"/>
        </w:trPr>
        <w:tc>
          <w:tcPr>
            <w:tcW w:w="988" w:type="dxa"/>
            <w:tcBorders>
              <w:top w:val="single" w:color="auto" w:sz="4" w:space="0"/>
              <w:left w:val="single" w:color="auto" w:sz="4" w:space="0"/>
              <w:bottom w:val="single" w:color="auto" w:sz="4" w:space="0"/>
              <w:right w:val="single" w:color="auto" w:sz="4" w:space="0"/>
            </w:tcBorders>
            <w:vAlign w:val="center"/>
          </w:tcPr>
          <w:p w14:paraId="3F2A2042">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7337" w:type="dxa"/>
            <w:tcBorders>
              <w:top w:val="single" w:color="auto" w:sz="4" w:space="0"/>
              <w:left w:val="single" w:color="auto" w:sz="4" w:space="0"/>
              <w:bottom w:val="single" w:color="auto" w:sz="4" w:space="0"/>
              <w:right w:val="single" w:color="auto" w:sz="4" w:space="0"/>
            </w:tcBorders>
            <w:vAlign w:val="center"/>
          </w:tcPr>
          <w:p w14:paraId="122D43DD">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箱内温度恒定控制在2℃～8℃以内（须提供加盖制造商公章的产品注册证扫描件佐证）。</w:t>
            </w:r>
          </w:p>
        </w:tc>
        <w:tc>
          <w:tcPr>
            <w:tcW w:w="735" w:type="dxa"/>
            <w:tcBorders>
              <w:top w:val="single" w:color="auto" w:sz="4" w:space="0"/>
              <w:left w:val="single" w:color="auto" w:sz="4" w:space="0"/>
              <w:bottom w:val="single" w:color="auto" w:sz="4" w:space="0"/>
              <w:right w:val="single" w:color="auto" w:sz="4" w:space="0"/>
            </w:tcBorders>
            <w:vAlign w:val="top"/>
          </w:tcPr>
          <w:p w14:paraId="535D79C0">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4C7A2E51">
            <w:pPr>
              <w:spacing w:line="360" w:lineRule="auto"/>
              <w:rPr>
                <w:rFonts w:hint="eastAsia" w:ascii="宋体" w:hAnsi="宋体" w:eastAsia="宋体" w:cs="宋体"/>
                <w:sz w:val="24"/>
                <w:szCs w:val="24"/>
                <w:lang w:val="en-US" w:eastAsia="zh-CN"/>
              </w:rPr>
            </w:pPr>
          </w:p>
        </w:tc>
      </w:tr>
      <w:tr w14:paraId="66F00C77">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253F0E08">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7337" w:type="dxa"/>
            <w:tcBorders>
              <w:top w:val="single" w:color="auto" w:sz="4" w:space="0"/>
              <w:left w:val="single" w:color="auto" w:sz="4" w:space="0"/>
              <w:bottom w:val="single" w:color="auto" w:sz="4" w:space="0"/>
              <w:right w:val="single" w:color="auto" w:sz="4" w:space="0"/>
            </w:tcBorders>
            <w:vAlign w:val="center"/>
          </w:tcPr>
          <w:p w14:paraId="6867F73E">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多种故障报警：</w:t>
            </w:r>
            <w:bookmarkStart w:id="0" w:name="_GoBack"/>
            <w:bookmarkEnd w:id="0"/>
            <w:r>
              <w:rPr>
                <w:rFonts w:hint="eastAsia" w:ascii="宋体" w:hAnsi="宋体" w:eastAsia="宋体" w:cs="宋体"/>
                <w:i w:val="0"/>
                <w:iCs w:val="0"/>
                <w:color w:val="000000"/>
                <w:kern w:val="0"/>
                <w:sz w:val="24"/>
                <w:szCs w:val="24"/>
                <w:u w:val="none"/>
                <w:lang w:val="en-US" w:eastAsia="zh-CN" w:bidi="ar"/>
              </w:rPr>
              <w:t>高低温报警、传感器故障报警、开门报警、断电报警。</w:t>
            </w:r>
          </w:p>
        </w:tc>
        <w:tc>
          <w:tcPr>
            <w:tcW w:w="735" w:type="dxa"/>
            <w:tcBorders>
              <w:top w:val="single" w:color="auto" w:sz="4" w:space="0"/>
              <w:left w:val="single" w:color="auto" w:sz="4" w:space="0"/>
              <w:bottom w:val="single" w:color="auto" w:sz="4" w:space="0"/>
              <w:right w:val="single" w:color="auto" w:sz="4" w:space="0"/>
            </w:tcBorders>
            <w:vAlign w:val="top"/>
          </w:tcPr>
          <w:p w14:paraId="560746BB">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295C5D1A">
            <w:pPr>
              <w:spacing w:line="360" w:lineRule="auto"/>
              <w:rPr>
                <w:rFonts w:hint="eastAsia" w:ascii="宋体" w:hAnsi="宋体" w:eastAsia="宋体" w:cs="宋体"/>
                <w:sz w:val="24"/>
                <w:szCs w:val="24"/>
                <w:lang w:val="en-US" w:eastAsia="zh-CN"/>
              </w:rPr>
            </w:pPr>
          </w:p>
        </w:tc>
      </w:tr>
      <w:tr w14:paraId="0A91D03E">
        <w:tblPrEx>
          <w:tblCellMar>
            <w:top w:w="0" w:type="dxa"/>
            <w:left w:w="108" w:type="dxa"/>
            <w:bottom w:w="0" w:type="dxa"/>
            <w:right w:w="108" w:type="dxa"/>
          </w:tblCellMar>
        </w:tblPrEx>
        <w:trPr>
          <w:trHeight w:val="455" w:hRule="atLeast"/>
        </w:trPr>
        <w:tc>
          <w:tcPr>
            <w:tcW w:w="988" w:type="dxa"/>
            <w:tcBorders>
              <w:top w:val="single" w:color="auto" w:sz="4" w:space="0"/>
              <w:left w:val="single" w:color="auto" w:sz="4" w:space="0"/>
              <w:bottom w:val="single" w:color="auto" w:sz="4" w:space="0"/>
              <w:right w:val="single" w:color="auto" w:sz="4" w:space="0"/>
            </w:tcBorders>
            <w:vAlign w:val="center"/>
          </w:tcPr>
          <w:p w14:paraId="714CAC41">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7337" w:type="dxa"/>
            <w:tcBorders>
              <w:top w:val="single" w:color="auto" w:sz="4" w:space="0"/>
              <w:left w:val="single" w:color="auto" w:sz="4" w:space="0"/>
              <w:bottom w:val="single" w:color="auto" w:sz="4" w:space="0"/>
              <w:right w:val="single" w:color="auto" w:sz="4" w:space="0"/>
            </w:tcBorders>
            <w:vAlign w:val="center"/>
          </w:tcPr>
          <w:p w14:paraId="7BD4DB47">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多重保护功能：开机延时、停机间隔等。</w:t>
            </w:r>
          </w:p>
        </w:tc>
        <w:tc>
          <w:tcPr>
            <w:tcW w:w="735" w:type="dxa"/>
            <w:tcBorders>
              <w:top w:val="single" w:color="auto" w:sz="4" w:space="0"/>
              <w:left w:val="single" w:color="auto" w:sz="4" w:space="0"/>
              <w:bottom w:val="single" w:color="auto" w:sz="4" w:space="0"/>
              <w:right w:val="single" w:color="auto" w:sz="4" w:space="0"/>
            </w:tcBorders>
            <w:vAlign w:val="top"/>
          </w:tcPr>
          <w:p w14:paraId="5B1D55E1">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690550EA">
            <w:pPr>
              <w:spacing w:line="360" w:lineRule="auto"/>
              <w:rPr>
                <w:rFonts w:hint="eastAsia" w:ascii="宋体" w:hAnsi="宋体" w:eastAsia="宋体" w:cs="宋体"/>
                <w:sz w:val="24"/>
                <w:szCs w:val="24"/>
                <w:lang w:val="en-US" w:eastAsia="zh-CN"/>
              </w:rPr>
            </w:pPr>
          </w:p>
        </w:tc>
      </w:tr>
      <w:tr w14:paraId="75923B89">
        <w:tblPrEx>
          <w:tblCellMar>
            <w:top w:w="0" w:type="dxa"/>
            <w:left w:w="108" w:type="dxa"/>
            <w:bottom w:w="0" w:type="dxa"/>
            <w:right w:w="108" w:type="dxa"/>
          </w:tblCellMar>
        </w:tblPrEx>
        <w:trPr>
          <w:trHeight w:val="406" w:hRule="atLeast"/>
        </w:trPr>
        <w:tc>
          <w:tcPr>
            <w:tcW w:w="988" w:type="dxa"/>
            <w:tcBorders>
              <w:top w:val="single" w:color="auto" w:sz="4" w:space="0"/>
              <w:left w:val="single" w:color="auto" w:sz="4" w:space="0"/>
              <w:bottom w:val="single" w:color="auto" w:sz="4" w:space="0"/>
              <w:right w:val="single" w:color="auto" w:sz="4" w:space="0"/>
            </w:tcBorders>
            <w:vAlign w:val="center"/>
          </w:tcPr>
          <w:p w14:paraId="63A2A2FF">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7337" w:type="dxa"/>
            <w:tcBorders>
              <w:top w:val="single" w:color="auto" w:sz="4" w:space="0"/>
              <w:left w:val="single" w:color="auto" w:sz="4" w:space="0"/>
              <w:bottom w:val="single" w:color="auto" w:sz="4" w:space="0"/>
              <w:right w:val="single" w:color="auto" w:sz="4" w:space="0"/>
            </w:tcBorders>
            <w:vAlign w:val="center"/>
          </w:tcPr>
          <w:p w14:paraId="7F52C8A6">
            <w:pPr>
              <w:keepNext w:val="0"/>
              <w:keepLines w:val="0"/>
              <w:widowControl/>
              <w:suppressLineNumbers w:val="0"/>
              <w:jc w:val="both"/>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内部强制风冷系统，确保箱内温度均匀稳定。</w:t>
            </w:r>
          </w:p>
        </w:tc>
        <w:tc>
          <w:tcPr>
            <w:tcW w:w="735" w:type="dxa"/>
            <w:tcBorders>
              <w:top w:val="single" w:color="auto" w:sz="4" w:space="0"/>
              <w:left w:val="single" w:color="auto" w:sz="4" w:space="0"/>
              <w:bottom w:val="single" w:color="auto" w:sz="4" w:space="0"/>
              <w:right w:val="single" w:color="auto" w:sz="4" w:space="0"/>
            </w:tcBorders>
            <w:vAlign w:val="top"/>
          </w:tcPr>
          <w:p w14:paraId="3B5BD8A6">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0DDAEC89">
            <w:pPr>
              <w:spacing w:line="360" w:lineRule="auto"/>
              <w:rPr>
                <w:rFonts w:hint="eastAsia" w:ascii="宋体" w:hAnsi="宋体" w:eastAsia="宋体" w:cs="宋体"/>
                <w:sz w:val="24"/>
                <w:szCs w:val="24"/>
                <w:lang w:val="en-US" w:eastAsia="zh-CN"/>
              </w:rPr>
            </w:pPr>
          </w:p>
        </w:tc>
      </w:tr>
      <w:tr w14:paraId="4EF1E7DC">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3F9ADFD8">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7337" w:type="dxa"/>
            <w:tcBorders>
              <w:top w:val="single" w:color="auto" w:sz="4" w:space="0"/>
              <w:left w:val="single" w:color="auto" w:sz="4" w:space="0"/>
              <w:bottom w:val="single" w:color="auto" w:sz="4" w:space="0"/>
              <w:right w:val="single" w:color="auto" w:sz="4" w:space="0"/>
            </w:tcBorders>
            <w:vAlign w:val="center"/>
          </w:tcPr>
          <w:p w14:paraId="17A4904C">
            <w:pPr>
              <w:keepNext w:val="0"/>
              <w:keepLines w:val="0"/>
              <w:widowControl/>
              <w:suppressLineNumbers w:val="0"/>
              <w:jc w:val="both"/>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安全门锁设计，防止随意开启。</w:t>
            </w:r>
          </w:p>
        </w:tc>
        <w:tc>
          <w:tcPr>
            <w:tcW w:w="735" w:type="dxa"/>
            <w:tcBorders>
              <w:top w:val="single" w:color="auto" w:sz="4" w:space="0"/>
              <w:left w:val="single" w:color="auto" w:sz="4" w:space="0"/>
              <w:bottom w:val="single" w:color="auto" w:sz="4" w:space="0"/>
              <w:right w:val="single" w:color="auto" w:sz="4" w:space="0"/>
            </w:tcBorders>
            <w:vAlign w:val="top"/>
          </w:tcPr>
          <w:p w14:paraId="7BF2683D">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1F044BCC">
            <w:pPr>
              <w:spacing w:line="360" w:lineRule="auto"/>
              <w:rPr>
                <w:rFonts w:hint="eastAsia" w:ascii="宋体" w:hAnsi="宋体" w:eastAsia="宋体" w:cs="宋体"/>
                <w:sz w:val="24"/>
                <w:szCs w:val="24"/>
                <w:lang w:val="en-US" w:eastAsia="zh-CN"/>
              </w:rPr>
            </w:pPr>
          </w:p>
        </w:tc>
      </w:tr>
      <w:tr w14:paraId="315CDF08">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423B71AD">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7</w:t>
            </w:r>
          </w:p>
        </w:tc>
        <w:tc>
          <w:tcPr>
            <w:tcW w:w="7337" w:type="dxa"/>
            <w:tcBorders>
              <w:top w:val="single" w:color="auto" w:sz="4" w:space="0"/>
              <w:left w:val="single" w:color="auto" w:sz="4" w:space="0"/>
              <w:bottom w:val="single" w:color="auto" w:sz="4" w:space="0"/>
              <w:right w:val="single" w:color="auto" w:sz="4" w:space="0"/>
            </w:tcBorders>
            <w:vAlign w:val="center"/>
          </w:tcPr>
          <w:p w14:paraId="757B6E81">
            <w:pPr>
              <w:keepNext w:val="0"/>
              <w:keepLines w:val="0"/>
              <w:widowControl/>
              <w:suppressLineNumbers w:val="0"/>
              <w:jc w:val="both"/>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宽电压带设计，适用电源环境广。</w:t>
            </w:r>
          </w:p>
        </w:tc>
        <w:tc>
          <w:tcPr>
            <w:tcW w:w="735" w:type="dxa"/>
            <w:tcBorders>
              <w:top w:val="single" w:color="auto" w:sz="4" w:space="0"/>
              <w:left w:val="single" w:color="auto" w:sz="4" w:space="0"/>
              <w:bottom w:val="single" w:color="auto" w:sz="4" w:space="0"/>
              <w:right w:val="single" w:color="auto" w:sz="4" w:space="0"/>
            </w:tcBorders>
            <w:vAlign w:val="top"/>
          </w:tcPr>
          <w:p w14:paraId="5D0B3551">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1E3CA8D6">
            <w:pPr>
              <w:spacing w:line="360" w:lineRule="auto"/>
              <w:rPr>
                <w:rFonts w:hint="eastAsia" w:ascii="宋体" w:hAnsi="宋体" w:eastAsia="宋体" w:cs="宋体"/>
                <w:sz w:val="24"/>
                <w:szCs w:val="24"/>
                <w:lang w:val="en-US" w:eastAsia="zh-CN"/>
              </w:rPr>
            </w:pPr>
          </w:p>
        </w:tc>
      </w:tr>
      <w:tr w14:paraId="3B0A1D16">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59ED9C30">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8</w:t>
            </w:r>
          </w:p>
        </w:tc>
        <w:tc>
          <w:tcPr>
            <w:tcW w:w="7337" w:type="dxa"/>
            <w:tcBorders>
              <w:top w:val="single" w:color="auto" w:sz="4" w:space="0"/>
              <w:left w:val="single" w:color="auto" w:sz="4" w:space="0"/>
              <w:bottom w:val="single" w:color="auto" w:sz="4" w:space="0"/>
              <w:right w:val="single" w:color="auto" w:sz="4" w:space="0"/>
            </w:tcBorders>
            <w:vAlign w:val="center"/>
          </w:tcPr>
          <w:p w14:paraId="4477A0C6">
            <w:pPr>
              <w:keepNext w:val="0"/>
              <w:keepLines w:val="0"/>
              <w:widowControl/>
              <w:suppressLineNumbers w:val="0"/>
              <w:jc w:val="both"/>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产品具有医疗器械注册证（注册证上具有所投产品的具体型号）且提供能通过国家药品监督管理局官方网站查询的注册证上所投产品具体型号的截图（截图加盖制造商公章原件备查）。</w:t>
            </w:r>
          </w:p>
        </w:tc>
        <w:tc>
          <w:tcPr>
            <w:tcW w:w="735" w:type="dxa"/>
            <w:tcBorders>
              <w:top w:val="single" w:color="auto" w:sz="4" w:space="0"/>
              <w:left w:val="single" w:color="auto" w:sz="4" w:space="0"/>
              <w:bottom w:val="single" w:color="auto" w:sz="4" w:space="0"/>
              <w:right w:val="single" w:color="auto" w:sz="4" w:space="0"/>
            </w:tcBorders>
            <w:vAlign w:val="top"/>
          </w:tcPr>
          <w:p w14:paraId="537A8A21">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498BC0EB">
            <w:pPr>
              <w:spacing w:line="360" w:lineRule="auto"/>
              <w:rPr>
                <w:rFonts w:hint="eastAsia" w:ascii="宋体" w:hAnsi="宋体" w:eastAsia="宋体" w:cs="宋体"/>
                <w:sz w:val="24"/>
                <w:szCs w:val="24"/>
                <w:lang w:val="en-US" w:eastAsia="zh-CN"/>
              </w:rPr>
            </w:pPr>
          </w:p>
        </w:tc>
      </w:tr>
      <w:tr w14:paraId="03E73154">
        <w:tblPrEx>
          <w:tblCellMar>
            <w:top w:w="0" w:type="dxa"/>
            <w:left w:w="108" w:type="dxa"/>
            <w:bottom w:w="0" w:type="dxa"/>
            <w:right w:w="108" w:type="dxa"/>
          </w:tblCellMar>
        </w:tblPrEx>
        <w:trPr>
          <w:trHeight w:val="344" w:hRule="atLeast"/>
        </w:trPr>
        <w:tc>
          <w:tcPr>
            <w:tcW w:w="9868" w:type="dxa"/>
            <w:gridSpan w:val="4"/>
            <w:tcBorders>
              <w:top w:val="single" w:color="auto" w:sz="4" w:space="0"/>
              <w:left w:val="single" w:color="auto" w:sz="4" w:space="0"/>
              <w:bottom w:val="single" w:color="auto" w:sz="4" w:space="0"/>
              <w:right w:val="single" w:color="auto" w:sz="4" w:space="0"/>
            </w:tcBorders>
            <w:vAlign w:val="center"/>
          </w:tcPr>
          <w:p w14:paraId="799CCBA5">
            <w:pPr>
              <w:ind w:firstLine="3654" w:firstLineChars="1300"/>
              <w:rPr>
                <w:rFonts w:hint="default" w:ascii="宋体" w:hAnsi="宋体" w:eastAsia="宋体" w:cs="Arial"/>
                <w:color w:val="FF0000"/>
                <w:kern w:val="2"/>
                <w:sz w:val="22"/>
                <w:szCs w:val="22"/>
                <w:lang w:val="en-US" w:eastAsia="zh-CN" w:bidi="ar-SA"/>
              </w:rPr>
            </w:pPr>
            <w:r>
              <w:rPr>
                <w:rFonts w:hint="eastAsia" w:ascii="宋体" w:hAnsi="宋体" w:cs="Arial"/>
                <w:b/>
                <w:bCs/>
                <w:color w:val="000000" w:themeColor="text1"/>
                <w:kern w:val="2"/>
                <w:sz w:val="28"/>
                <w:szCs w:val="28"/>
                <w:lang w:val="en-US" w:eastAsia="zh-CN" w:bidi="ar-SA"/>
                <w14:textFill>
                  <w14:solidFill>
                    <w14:schemeClr w14:val="tx1"/>
                  </w14:solidFill>
                </w14:textFill>
              </w:rPr>
              <w:t>商务要求</w:t>
            </w:r>
          </w:p>
        </w:tc>
      </w:tr>
      <w:tr w14:paraId="279B0BF4">
        <w:tblPrEx>
          <w:tblCellMar>
            <w:top w:w="0" w:type="dxa"/>
            <w:left w:w="108" w:type="dxa"/>
            <w:bottom w:w="0" w:type="dxa"/>
            <w:right w:w="108" w:type="dxa"/>
          </w:tblCellMar>
        </w:tblPrEx>
        <w:trPr>
          <w:trHeight w:val="275" w:hRule="atLeast"/>
        </w:trPr>
        <w:tc>
          <w:tcPr>
            <w:tcW w:w="988" w:type="dxa"/>
            <w:tcBorders>
              <w:top w:val="single" w:color="auto" w:sz="4" w:space="0"/>
              <w:left w:val="single" w:color="auto" w:sz="4" w:space="0"/>
              <w:bottom w:val="single" w:color="auto" w:sz="4" w:space="0"/>
              <w:right w:val="single" w:color="auto" w:sz="4" w:space="0"/>
            </w:tcBorders>
            <w:vAlign w:val="center"/>
          </w:tcPr>
          <w:p w14:paraId="20BA2683">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7337" w:type="dxa"/>
            <w:tcBorders>
              <w:top w:val="single" w:color="auto" w:sz="4" w:space="0"/>
              <w:left w:val="single" w:color="auto" w:sz="4" w:space="0"/>
              <w:bottom w:val="single" w:color="auto" w:sz="4" w:space="0"/>
              <w:right w:val="single" w:color="auto" w:sz="4" w:space="0"/>
            </w:tcBorders>
            <w:vAlign w:val="center"/>
          </w:tcPr>
          <w:p w14:paraId="2869D705">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both"/>
              <w:rPr>
                <w:rFonts w:hint="default" w:ascii="宋体" w:hAnsi="宋体" w:eastAsia="宋体" w:cs="宋体"/>
                <w:sz w:val="24"/>
                <w:szCs w:val="24"/>
                <w:lang w:val="en-US" w:eastAsia="zh-CN"/>
              </w:rPr>
            </w:pPr>
          </w:p>
        </w:tc>
        <w:tc>
          <w:tcPr>
            <w:tcW w:w="735" w:type="dxa"/>
            <w:tcBorders>
              <w:top w:val="single" w:color="auto" w:sz="4" w:space="0"/>
              <w:left w:val="single" w:color="auto" w:sz="4" w:space="0"/>
              <w:bottom w:val="single" w:color="auto" w:sz="4" w:space="0"/>
              <w:right w:val="single" w:color="auto" w:sz="4" w:space="0"/>
            </w:tcBorders>
            <w:vAlign w:val="top"/>
          </w:tcPr>
          <w:p w14:paraId="654E1480">
            <w:pPr>
              <w:widowControl/>
              <w:spacing w:line="300" w:lineRule="exact"/>
              <w:jc w:val="left"/>
              <w:textAlignment w:val="center"/>
              <w:rPr>
                <w:rFonts w:hint="eastAsia" w:ascii="宋体" w:hAnsi="宋体" w:cs="宋体"/>
                <w:b/>
                <w:bCs/>
                <w:color w:val="000000" w:themeColor="text1"/>
                <w:kern w:val="0"/>
                <w:sz w:val="24"/>
                <w:szCs w:val="24"/>
                <w:lang w:bidi="ar"/>
                <w14:textFill>
                  <w14:solidFill>
                    <w14:schemeClr w14:val="tx1"/>
                  </w14:solidFill>
                </w14:textFill>
              </w:rPr>
            </w:pPr>
          </w:p>
          <w:p w14:paraId="053EB8A5">
            <w:pPr>
              <w:widowControl/>
              <w:spacing w:line="300" w:lineRule="exact"/>
              <w:jc w:val="left"/>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808" w:type="dxa"/>
            <w:tcBorders>
              <w:top w:val="single" w:color="auto" w:sz="4" w:space="0"/>
              <w:left w:val="single" w:color="auto" w:sz="4" w:space="0"/>
              <w:bottom w:val="single" w:color="auto" w:sz="4" w:space="0"/>
              <w:right w:val="single" w:color="auto" w:sz="4" w:space="0"/>
            </w:tcBorders>
            <w:vAlign w:val="top"/>
          </w:tcPr>
          <w:p w14:paraId="5411AA14">
            <w:pPr>
              <w:widowControl/>
              <w:spacing w:line="300" w:lineRule="exact"/>
              <w:jc w:val="left"/>
              <w:textAlignment w:val="center"/>
              <w:rPr>
                <w:rFonts w:hint="eastAsia" w:ascii="宋体" w:hAnsi="宋体" w:cs="宋体"/>
                <w:b/>
                <w:bCs/>
                <w:color w:val="000000" w:themeColor="text1"/>
                <w:kern w:val="0"/>
                <w:sz w:val="24"/>
                <w:szCs w:val="24"/>
                <w:lang w:bidi="ar"/>
                <w14:textFill>
                  <w14:solidFill>
                    <w14:schemeClr w14:val="tx1"/>
                  </w14:solidFill>
                </w14:textFill>
              </w:rPr>
            </w:pPr>
          </w:p>
          <w:p w14:paraId="2EB2643C">
            <w:pPr>
              <w:widowControl/>
              <w:spacing w:line="300" w:lineRule="exact"/>
              <w:jc w:val="left"/>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068CC31C">
        <w:tblPrEx>
          <w:tblCellMar>
            <w:top w:w="0" w:type="dxa"/>
            <w:left w:w="108" w:type="dxa"/>
            <w:bottom w:w="0" w:type="dxa"/>
            <w:right w:w="108" w:type="dxa"/>
          </w:tblCellMar>
        </w:tblPrEx>
        <w:trPr>
          <w:trHeight w:val="563" w:hRule="atLeast"/>
        </w:trPr>
        <w:tc>
          <w:tcPr>
            <w:tcW w:w="988" w:type="dxa"/>
            <w:tcBorders>
              <w:top w:val="single" w:color="auto" w:sz="4" w:space="0"/>
              <w:left w:val="single" w:color="auto" w:sz="4" w:space="0"/>
              <w:bottom w:val="single" w:color="auto" w:sz="4" w:space="0"/>
              <w:right w:val="single" w:color="auto" w:sz="4" w:space="0"/>
            </w:tcBorders>
            <w:vAlign w:val="center"/>
          </w:tcPr>
          <w:p w14:paraId="6DA67BDD">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240" w:lineRule="auto"/>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w:t>
            </w:r>
          </w:p>
        </w:tc>
        <w:tc>
          <w:tcPr>
            <w:tcW w:w="7337" w:type="dxa"/>
            <w:tcBorders>
              <w:top w:val="single" w:color="auto" w:sz="4" w:space="0"/>
              <w:left w:val="single" w:color="auto" w:sz="4" w:space="0"/>
              <w:bottom w:val="single" w:color="auto" w:sz="4" w:space="0"/>
              <w:right w:val="single" w:color="auto" w:sz="4" w:space="0"/>
            </w:tcBorders>
            <w:vAlign w:val="center"/>
          </w:tcPr>
          <w:p w14:paraId="5A4CC0B6">
            <w:pPr>
              <w:spacing w:line="240" w:lineRule="auto"/>
              <w:rPr>
                <w:sz w:val="24"/>
                <w:szCs w:val="24"/>
              </w:rPr>
            </w:pPr>
            <w:r>
              <w:rPr>
                <w:rFonts w:hint="eastAsia" w:ascii="宋体" w:hAnsi="宋体" w:eastAsia="宋体" w:cs="宋体"/>
                <w:sz w:val="24"/>
                <w:szCs w:val="24"/>
                <w:lang w:val="en-US" w:eastAsia="zh-CN"/>
              </w:rPr>
              <w:t>自验收合格之日起，中选供应商提供产品免费质保服务至少</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年。</w:t>
            </w:r>
          </w:p>
        </w:tc>
        <w:tc>
          <w:tcPr>
            <w:tcW w:w="735" w:type="dxa"/>
            <w:tcBorders>
              <w:top w:val="single" w:color="auto" w:sz="4" w:space="0"/>
              <w:left w:val="single" w:color="auto" w:sz="4" w:space="0"/>
              <w:bottom w:val="single" w:color="auto" w:sz="4" w:space="0"/>
              <w:right w:val="single" w:color="auto" w:sz="4" w:space="0"/>
            </w:tcBorders>
            <w:vAlign w:val="top"/>
          </w:tcPr>
          <w:p w14:paraId="4B34BCFD">
            <w:pPr>
              <w:spacing w:line="240" w:lineRule="auto"/>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5D1C386D">
            <w:pPr>
              <w:spacing w:line="240" w:lineRule="auto"/>
              <w:rPr>
                <w:rFonts w:hint="eastAsia" w:ascii="宋体" w:hAnsi="宋体" w:eastAsia="宋体" w:cs="Arial"/>
                <w:color w:val="FF0000"/>
                <w:kern w:val="2"/>
                <w:sz w:val="22"/>
                <w:szCs w:val="22"/>
                <w:lang w:val="en-US" w:eastAsia="zh-CN" w:bidi="ar-SA"/>
              </w:rPr>
            </w:pPr>
          </w:p>
        </w:tc>
      </w:tr>
      <w:tr w14:paraId="64D65E64">
        <w:tblPrEx>
          <w:tblCellMar>
            <w:top w:w="0" w:type="dxa"/>
            <w:left w:w="108" w:type="dxa"/>
            <w:bottom w:w="0" w:type="dxa"/>
            <w:right w:w="108" w:type="dxa"/>
          </w:tblCellMar>
        </w:tblPrEx>
        <w:trPr>
          <w:trHeight w:val="953" w:hRule="atLeast"/>
        </w:trPr>
        <w:tc>
          <w:tcPr>
            <w:tcW w:w="988" w:type="dxa"/>
            <w:tcBorders>
              <w:top w:val="single" w:color="auto" w:sz="4" w:space="0"/>
              <w:left w:val="single" w:color="auto" w:sz="4" w:space="0"/>
              <w:bottom w:val="single" w:color="auto" w:sz="4" w:space="0"/>
              <w:right w:val="single" w:color="auto" w:sz="4" w:space="0"/>
            </w:tcBorders>
            <w:vAlign w:val="center"/>
          </w:tcPr>
          <w:p w14:paraId="0E03DC7A">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240" w:lineRule="auto"/>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w:t>
            </w:r>
          </w:p>
        </w:tc>
        <w:tc>
          <w:tcPr>
            <w:tcW w:w="7337" w:type="dxa"/>
            <w:tcBorders>
              <w:top w:val="single" w:color="auto" w:sz="4" w:space="0"/>
              <w:left w:val="single" w:color="auto" w:sz="4" w:space="0"/>
              <w:bottom w:val="single" w:color="auto" w:sz="4" w:space="0"/>
              <w:right w:val="single" w:color="auto" w:sz="4" w:space="0"/>
            </w:tcBorders>
            <w:vAlign w:val="center"/>
          </w:tcPr>
          <w:p w14:paraId="0E43EA54">
            <w:pPr>
              <w:spacing w:line="240" w:lineRule="auto"/>
              <w:rPr>
                <w:sz w:val="24"/>
                <w:szCs w:val="24"/>
              </w:rPr>
            </w:pPr>
            <w:r>
              <w:rPr>
                <w:rFonts w:hint="eastAsia" w:ascii="宋体" w:hAnsi="宋体" w:eastAsia="宋体" w:cs="宋体"/>
                <w:sz w:val="24"/>
                <w:szCs w:val="24"/>
                <w:lang w:val="en-US" w:eastAsia="zh-CN"/>
              </w:rPr>
              <w:t>所有设备必须在签订合同后30日内交货并安装调试完毕；如因采购人场地原因无法执行的，应在接到采购人通知后30日内完成交付</w:t>
            </w:r>
            <w:r>
              <w:rPr>
                <w:rFonts w:hint="eastAsia" w:ascii="宋体" w:hAnsi="宋体" w:cs="宋体"/>
                <w:sz w:val="24"/>
                <w:szCs w:val="24"/>
                <w:lang w:val="en-US" w:eastAsia="zh-CN"/>
              </w:rPr>
              <w:t>。</w:t>
            </w:r>
          </w:p>
        </w:tc>
        <w:tc>
          <w:tcPr>
            <w:tcW w:w="735" w:type="dxa"/>
            <w:tcBorders>
              <w:top w:val="single" w:color="auto" w:sz="4" w:space="0"/>
              <w:left w:val="single" w:color="auto" w:sz="4" w:space="0"/>
              <w:bottom w:val="single" w:color="auto" w:sz="4" w:space="0"/>
              <w:right w:val="single" w:color="auto" w:sz="4" w:space="0"/>
            </w:tcBorders>
            <w:vAlign w:val="top"/>
          </w:tcPr>
          <w:p w14:paraId="46F3189F">
            <w:pPr>
              <w:spacing w:line="240" w:lineRule="auto"/>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75173403">
            <w:pPr>
              <w:spacing w:line="240" w:lineRule="auto"/>
              <w:rPr>
                <w:rFonts w:hint="eastAsia" w:ascii="宋体" w:hAnsi="宋体" w:eastAsia="宋体" w:cs="Arial"/>
                <w:color w:val="FF0000"/>
                <w:kern w:val="2"/>
                <w:sz w:val="22"/>
                <w:szCs w:val="22"/>
                <w:lang w:val="en-US" w:eastAsia="zh-CN" w:bidi="ar-SA"/>
              </w:rPr>
            </w:pPr>
          </w:p>
        </w:tc>
      </w:tr>
      <w:tr w14:paraId="796D2A60">
        <w:tblPrEx>
          <w:tblCellMar>
            <w:top w:w="0" w:type="dxa"/>
            <w:left w:w="108" w:type="dxa"/>
            <w:bottom w:w="0" w:type="dxa"/>
            <w:right w:w="108" w:type="dxa"/>
          </w:tblCellMar>
        </w:tblPrEx>
        <w:trPr>
          <w:trHeight w:val="1218" w:hRule="atLeast"/>
        </w:trPr>
        <w:tc>
          <w:tcPr>
            <w:tcW w:w="988" w:type="dxa"/>
            <w:tcBorders>
              <w:top w:val="single" w:color="auto" w:sz="4" w:space="0"/>
              <w:left w:val="single" w:color="auto" w:sz="4" w:space="0"/>
              <w:bottom w:val="single" w:color="auto" w:sz="4" w:space="0"/>
              <w:right w:val="single" w:color="auto" w:sz="4" w:space="0"/>
            </w:tcBorders>
            <w:vAlign w:val="center"/>
          </w:tcPr>
          <w:p w14:paraId="06DFFE13">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240" w:lineRule="auto"/>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3</w:t>
            </w:r>
          </w:p>
        </w:tc>
        <w:tc>
          <w:tcPr>
            <w:tcW w:w="7337" w:type="dxa"/>
            <w:tcBorders>
              <w:top w:val="single" w:color="auto" w:sz="4" w:space="0"/>
              <w:left w:val="single" w:color="auto" w:sz="4" w:space="0"/>
              <w:bottom w:val="single" w:color="auto" w:sz="4" w:space="0"/>
              <w:right w:val="single" w:color="auto" w:sz="4" w:space="0"/>
            </w:tcBorders>
            <w:vAlign w:val="center"/>
          </w:tcPr>
          <w:p w14:paraId="169AEEFB">
            <w:pPr>
              <w:spacing w:line="240" w:lineRule="auto"/>
              <w:rPr>
                <w:sz w:val="24"/>
                <w:szCs w:val="24"/>
              </w:rPr>
            </w:pPr>
            <w:r>
              <w:rPr>
                <w:rFonts w:hint="eastAsia" w:ascii="宋体" w:hAnsi="宋体" w:eastAsia="宋体" w:cs="宋体"/>
                <w:sz w:val="24"/>
                <w:szCs w:val="24"/>
                <w:lang w:val="en-US" w:eastAsia="zh-CN"/>
              </w:rPr>
              <w:t>付款方式：合同签订时中选供应商向采购人支付合同总价的5%作为履约保证金。设备安装、调试、验收合格后，采购人向已提供全额增值税普通发票的中选供应商支付合同总款；合同约定服务期满后无未解决的质量问题，采购人将向中选供应商无息退还原履约保证金。</w:t>
            </w:r>
          </w:p>
        </w:tc>
        <w:tc>
          <w:tcPr>
            <w:tcW w:w="735" w:type="dxa"/>
            <w:tcBorders>
              <w:top w:val="single" w:color="auto" w:sz="4" w:space="0"/>
              <w:left w:val="single" w:color="auto" w:sz="4" w:space="0"/>
              <w:bottom w:val="single" w:color="auto" w:sz="4" w:space="0"/>
              <w:right w:val="single" w:color="auto" w:sz="4" w:space="0"/>
            </w:tcBorders>
            <w:vAlign w:val="top"/>
          </w:tcPr>
          <w:p w14:paraId="63C8604E">
            <w:pPr>
              <w:spacing w:line="240" w:lineRule="auto"/>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7E9E8333">
            <w:pPr>
              <w:spacing w:line="240" w:lineRule="auto"/>
              <w:rPr>
                <w:rFonts w:hint="eastAsia" w:ascii="宋体" w:hAnsi="宋体" w:eastAsia="宋体" w:cs="Arial"/>
                <w:color w:val="FF0000"/>
                <w:kern w:val="2"/>
                <w:sz w:val="22"/>
                <w:szCs w:val="22"/>
                <w:lang w:val="en-US" w:eastAsia="zh-CN" w:bidi="ar-SA"/>
              </w:rPr>
            </w:pPr>
          </w:p>
        </w:tc>
      </w:tr>
    </w:tbl>
    <w:p w14:paraId="0A48C8FC">
      <w:pPr>
        <w:tabs>
          <w:tab w:val="left" w:pos="1888"/>
        </w:tabs>
        <w:spacing w:line="240" w:lineRule="auto"/>
        <w:rPr>
          <w:rFonts w:hint="eastAsia" w:eastAsia="宋体"/>
          <w:lang w:val="en-US" w:eastAsia="zh-CN"/>
        </w:rPr>
      </w:pPr>
    </w:p>
    <w:sectPr>
      <w:pgSz w:w="11906" w:h="16838"/>
      <w:pgMar w:top="1440" w:right="1519" w:bottom="1440" w:left="22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4YjI1NzI0MTcwYTc4ZjM2NmEzYjFmNTI3YzU2YjUifQ=="/>
  </w:docVars>
  <w:rsids>
    <w:rsidRoot w:val="00000000"/>
    <w:rsid w:val="0067683C"/>
    <w:rsid w:val="008D4EE8"/>
    <w:rsid w:val="00A367D9"/>
    <w:rsid w:val="00C95FFC"/>
    <w:rsid w:val="01671386"/>
    <w:rsid w:val="017E2A82"/>
    <w:rsid w:val="02E5725D"/>
    <w:rsid w:val="02E96621"/>
    <w:rsid w:val="02F456F2"/>
    <w:rsid w:val="03247659"/>
    <w:rsid w:val="034B2E38"/>
    <w:rsid w:val="03EC461B"/>
    <w:rsid w:val="045F4DED"/>
    <w:rsid w:val="04620439"/>
    <w:rsid w:val="04E57906"/>
    <w:rsid w:val="051978D3"/>
    <w:rsid w:val="054B3B83"/>
    <w:rsid w:val="055511AF"/>
    <w:rsid w:val="05551D4C"/>
    <w:rsid w:val="05CF5FA2"/>
    <w:rsid w:val="06977677"/>
    <w:rsid w:val="0854278F"/>
    <w:rsid w:val="08BF5E5A"/>
    <w:rsid w:val="08CB2A51"/>
    <w:rsid w:val="09775278"/>
    <w:rsid w:val="09CD45A7"/>
    <w:rsid w:val="0A124BEF"/>
    <w:rsid w:val="0A193C90"/>
    <w:rsid w:val="0A2E773B"/>
    <w:rsid w:val="0B464F3D"/>
    <w:rsid w:val="0B8425B2"/>
    <w:rsid w:val="0BAE560B"/>
    <w:rsid w:val="0BB27EF8"/>
    <w:rsid w:val="0BD72EEC"/>
    <w:rsid w:val="0C1D4B5C"/>
    <w:rsid w:val="0C8C63CD"/>
    <w:rsid w:val="0D2564A8"/>
    <w:rsid w:val="0D5F5E5E"/>
    <w:rsid w:val="0D991370"/>
    <w:rsid w:val="0DC21730"/>
    <w:rsid w:val="0E9E6512"/>
    <w:rsid w:val="0ED62150"/>
    <w:rsid w:val="0EEA5164"/>
    <w:rsid w:val="0FC64BAC"/>
    <w:rsid w:val="103E1D5B"/>
    <w:rsid w:val="10493E92"/>
    <w:rsid w:val="10722F10"/>
    <w:rsid w:val="10802373"/>
    <w:rsid w:val="10D4446D"/>
    <w:rsid w:val="1103064A"/>
    <w:rsid w:val="115F467E"/>
    <w:rsid w:val="11833451"/>
    <w:rsid w:val="12661A3D"/>
    <w:rsid w:val="12710BD7"/>
    <w:rsid w:val="1376180B"/>
    <w:rsid w:val="139265EA"/>
    <w:rsid w:val="147F6DE6"/>
    <w:rsid w:val="14BD1E65"/>
    <w:rsid w:val="15FA2BC8"/>
    <w:rsid w:val="15FB06EE"/>
    <w:rsid w:val="16844909"/>
    <w:rsid w:val="16E86EC4"/>
    <w:rsid w:val="176522C3"/>
    <w:rsid w:val="17D20492"/>
    <w:rsid w:val="181304AC"/>
    <w:rsid w:val="18526AF9"/>
    <w:rsid w:val="18C005CB"/>
    <w:rsid w:val="191E4E1F"/>
    <w:rsid w:val="19341F4D"/>
    <w:rsid w:val="19622F5E"/>
    <w:rsid w:val="19C37774"/>
    <w:rsid w:val="1A1B0385"/>
    <w:rsid w:val="1A7F5449"/>
    <w:rsid w:val="1A9469A8"/>
    <w:rsid w:val="1B411EAF"/>
    <w:rsid w:val="1BBD7E75"/>
    <w:rsid w:val="1BC81072"/>
    <w:rsid w:val="1BE475EF"/>
    <w:rsid w:val="1C791D5C"/>
    <w:rsid w:val="1CA4563B"/>
    <w:rsid w:val="1CAB4F39"/>
    <w:rsid w:val="1CEB326A"/>
    <w:rsid w:val="1D33076D"/>
    <w:rsid w:val="1D571AAC"/>
    <w:rsid w:val="1D5C1A72"/>
    <w:rsid w:val="1D7858E7"/>
    <w:rsid w:val="1D8E3BF5"/>
    <w:rsid w:val="1E0000FE"/>
    <w:rsid w:val="1E592455"/>
    <w:rsid w:val="1F150595"/>
    <w:rsid w:val="1F493E95"/>
    <w:rsid w:val="1F522558"/>
    <w:rsid w:val="1FEB1241"/>
    <w:rsid w:val="1FFC753C"/>
    <w:rsid w:val="204A4749"/>
    <w:rsid w:val="20B63B8F"/>
    <w:rsid w:val="21701DBE"/>
    <w:rsid w:val="21FB3F4F"/>
    <w:rsid w:val="225B2C40"/>
    <w:rsid w:val="22FD5AA5"/>
    <w:rsid w:val="239C6211"/>
    <w:rsid w:val="24233AFC"/>
    <w:rsid w:val="2423778D"/>
    <w:rsid w:val="2441528D"/>
    <w:rsid w:val="24457704"/>
    <w:rsid w:val="24AE3CD0"/>
    <w:rsid w:val="24B457FE"/>
    <w:rsid w:val="257C53A7"/>
    <w:rsid w:val="26FC7198"/>
    <w:rsid w:val="27027078"/>
    <w:rsid w:val="27A61C68"/>
    <w:rsid w:val="28A80261"/>
    <w:rsid w:val="28B5472C"/>
    <w:rsid w:val="28BA314C"/>
    <w:rsid w:val="28C037FD"/>
    <w:rsid w:val="298E37F4"/>
    <w:rsid w:val="29BF1D06"/>
    <w:rsid w:val="29EC40DE"/>
    <w:rsid w:val="29F51284"/>
    <w:rsid w:val="29F545C8"/>
    <w:rsid w:val="2A202CF7"/>
    <w:rsid w:val="2A4923A0"/>
    <w:rsid w:val="2A7E3970"/>
    <w:rsid w:val="2A9860B3"/>
    <w:rsid w:val="2AD510B6"/>
    <w:rsid w:val="2ADA66CC"/>
    <w:rsid w:val="2B6A3EF4"/>
    <w:rsid w:val="2BE9306B"/>
    <w:rsid w:val="2BFE1801"/>
    <w:rsid w:val="2C05139D"/>
    <w:rsid w:val="2C0A4D8F"/>
    <w:rsid w:val="2CAA34A4"/>
    <w:rsid w:val="2CC94C4A"/>
    <w:rsid w:val="2D0D3A32"/>
    <w:rsid w:val="2D1C121E"/>
    <w:rsid w:val="2D4C117B"/>
    <w:rsid w:val="2D6A01DB"/>
    <w:rsid w:val="2D880661"/>
    <w:rsid w:val="2D9C47AE"/>
    <w:rsid w:val="2DF00E48"/>
    <w:rsid w:val="2E026666"/>
    <w:rsid w:val="2E0757F3"/>
    <w:rsid w:val="2E114AFB"/>
    <w:rsid w:val="2E4F651B"/>
    <w:rsid w:val="2EA27501"/>
    <w:rsid w:val="2F97218C"/>
    <w:rsid w:val="30563853"/>
    <w:rsid w:val="308B0B94"/>
    <w:rsid w:val="31610B38"/>
    <w:rsid w:val="31BB1005"/>
    <w:rsid w:val="31FF358A"/>
    <w:rsid w:val="326437DB"/>
    <w:rsid w:val="32C122C1"/>
    <w:rsid w:val="334412CE"/>
    <w:rsid w:val="334F4C77"/>
    <w:rsid w:val="3387447F"/>
    <w:rsid w:val="33ED2723"/>
    <w:rsid w:val="34255A9B"/>
    <w:rsid w:val="343B6EF0"/>
    <w:rsid w:val="344D3B47"/>
    <w:rsid w:val="348F22D5"/>
    <w:rsid w:val="349B511E"/>
    <w:rsid w:val="34C603ED"/>
    <w:rsid w:val="353C0A11"/>
    <w:rsid w:val="358838F4"/>
    <w:rsid w:val="35D762F8"/>
    <w:rsid w:val="35EC37D9"/>
    <w:rsid w:val="36987B67"/>
    <w:rsid w:val="36F02931"/>
    <w:rsid w:val="37107D85"/>
    <w:rsid w:val="373A15D6"/>
    <w:rsid w:val="38D96215"/>
    <w:rsid w:val="39642841"/>
    <w:rsid w:val="39DA0404"/>
    <w:rsid w:val="3A0948D8"/>
    <w:rsid w:val="3AE0314C"/>
    <w:rsid w:val="3B616EB5"/>
    <w:rsid w:val="3B6B584A"/>
    <w:rsid w:val="3BAB20EB"/>
    <w:rsid w:val="3BF63044"/>
    <w:rsid w:val="3BFD221A"/>
    <w:rsid w:val="3C065573"/>
    <w:rsid w:val="3C073099"/>
    <w:rsid w:val="3C34763D"/>
    <w:rsid w:val="3C413F1D"/>
    <w:rsid w:val="3C485B8B"/>
    <w:rsid w:val="3C850B8E"/>
    <w:rsid w:val="3CC67E53"/>
    <w:rsid w:val="3CD25455"/>
    <w:rsid w:val="3DF11443"/>
    <w:rsid w:val="3E430897"/>
    <w:rsid w:val="3F3B3785"/>
    <w:rsid w:val="3F8C2233"/>
    <w:rsid w:val="3F964E60"/>
    <w:rsid w:val="40610FCA"/>
    <w:rsid w:val="40FE4A6B"/>
    <w:rsid w:val="412650B1"/>
    <w:rsid w:val="416A1975"/>
    <w:rsid w:val="41E53940"/>
    <w:rsid w:val="42116A20"/>
    <w:rsid w:val="425F778B"/>
    <w:rsid w:val="42BB3023"/>
    <w:rsid w:val="4345762A"/>
    <w:rsid w:val="44597854"/>
    <w:rsid w:val="44DF2E05"/>
    <w:rsid w:val="45056E7F"/>
    <w:rsid w:val="451714F6"/>
    <w:rsid w:val="45516AEC"/>
    <w:rsid w:val="47654DF3"/>
    <w:rsid w:val="476A10AC"/>
    <w:rsid w:val="47937145"/>
    <w:rsid w:val="47B5428C"/>
    <w:rsid w:val="47F623C8"/>
    <w:rsid w:val="48691363"/>
    <w:rsid w:val="488E2B78"/>
    <w:rsid w:val="48C447EC"/>
    <w:rsid w:val="48FF5F5C"/>
    <w:rsid w:val="496B13ED"/>
    <w:rsid w:val="49A63EF1"/>
    <w:rsid w:val="49B0089D"/>
    <w:rsid w:val="49B6077E"/>
    <w:rsid w:val="49D16504"/>
    <w:rsid w:val="4A123335"/>
    <w:rsid w:val="4A3E05CE"/>
    <w:rsid w:val="4A6F69D9"/>
    <w:rsid w:val="4A871F75"/>
    <w:rsid w:val="4AB97C54"/>
    <w:rsid w:val="4AF33166"/>
    <w:rsid w:val="4B427C4A"/>
    <w:rsid w:val="4B885FA4"/>
    <w:rsid w:val="4C2061DD"/>
    <w:rsid w:val="4C431ECB"/>
    <w:rsid w:val="4C8F5111"/>
    <w:rsid w:val="4C983FC5"/>
    <w:rsid w:val="4CC748AA"/>
    <w:rsid w:val="4D7D059C"/>
    <w:rsid w:val="4D9329DF"/>
    <w:rsid w:val="4DCD0948"/>
    <w:rsid w:val="4E604FB7"/>
    <w:rsid w:val="4F4E12B3"/>
    <w:rsid w:val="4F8275BE"/>
    <w:rsid w:val="4F9842DC"/>
    <w:rsid w:val="4FA03191"/>
    <w:rsid w:val="4FAE4CD6"/>
    <w:rsid w:val="4FE85264"/>
    <w:rsid w:val="5076286F"/>
    <w:rsid w:val="50A7496A"/>
    <w:rsid w:val="51456094"/>
    <w:rsid w:val="51AE3C48"/>
    <w:rsid w:val="52860D64"/>
    <w:rsid w:val="52952D55"/>
    <w:rsid w:val="53C5055D"/>
    <w:rsid w:val="540A4DAE"/>
    <w:rsid w:val="54193CA1"/>
    <w:rsid w:val="5489372F"/>
    <w:rsid w:val="54AA0511"/>
    <w:rsid w:val="558C6691"/>
    <w:rsid w:val="55BB0D24"/>
    <w:rsid w:val="55C86EB0"/>
    <w:rsid w:val="56AB07EA"/>
    <w:rsid w:val="56CC59EE"/>
    <w:rsid w:val="57476D14"/>
    <w:rsid w:val="575913A5"/>
    <w:rsid w:val="57A06424"/>
    <w:rsid w:val="57B63CC6"/>
    <w:rsid w:val="57FD0A5E"/>
    <w:rsid w:val="58182635"/>
    <w:rsid w:val="583600A6"/>
    <w:rsid w:val="584E6EFC"/>
    <w:rsid w:val="59324B75"/>
    <w:rsid w:val="599124C8"/>
    <w:rsid w:val="59E3084A"/>
    <w:rsid w:val="59F36D13"/>
    <w:rsid w:val="5A301F2D"/>
    <w:rsid w:val="5A3827D9"/>
    <w:rsid w:val="5A614423"/>
    <w:rsid w:val="5AAE6289"/>
    <w:rsid w:val="5AC8016B"/>
    <w:rsid w:val="5AD22D98"/>
    <w:rsid w:val="5ADC3C17"/>
    <w:rsid w:val="5B0171D9"/>
    <w:rsid w:val="5B13515F"/>
    <w:rsid w:val="5B4B2B4A"/>
    <w:rsid w:val="5B740497"/>
    <w:rsid w:val="5B841BB9"/>
    <w:rsid w:val="5BCD17B1"/>
    <w:rsid w:val="5BEC60DC"/>
    <w:rsid w:val="5C714468"/>
    <w:rsid w:val="5CAF5FE8"/>
    <w:rsid w:val="5D445AA3"/>
    <w:rsid w:val="5D68419A"/>
    <w:rsid w:val="5D921D6B"/>
    <w:rsid w:val="5DA46536"/>
    <w:rsid w:val="5E2F3345"/>
    <w:rsid w:val="5EB17AF5"/>
    <w:rsid w:val="5EE94B54"/>
    <w:rsid w:val="5F1119B5"/>
    <w:rsid w:val="5F9209D2"/>
    <w:rsid w:val="5FC627A0"/>
    <w:rsid w:val="5FD255E8"/>
    <w:rsid w:val="60013032"/>
    <w:rsid w:val="60055362"/>
    <w:rsid w:val="6039592F"/>
    <w:rsid w:val="6129061A"/>
    <w:rsid w:val="612F6DD4"/>
    <w:rsid w:val="6162474A"/>
    <w:rsid w:val="61897F29"/>
    <w:rsid w:val="619A0388"/>
    <w:rsid w:val="61BE5E24"/>
    <w:rsid w:val="61D76EE6"/>
    <w:rsid w:val="61E57855"/>
    <w:rsid w:val="61F730E4"/>
    <w:rsid w:val="6269729D"/>
    <w:rsid w:val="62B8752A"/>
    <w:rsid w:val="63143C4C"/>
    <w:rsid w:val="634C1783"/>
    <w:rsid w:val="63520F1A"/>
    <w:rsid w:val="63D849D2"/>
    <w:rsid w:val="646A4041"/>
    <w:rsid w:val="65165F77"/>
    <w:rsid w:val="652E2329"/>
    <w:rsid w:val="65401246"/>
    <w:rsid w:val="65A17F37"/>
    <w:rsid w:val="65AD38C9"/>
    <w:rsid w:val="65F30067"/>
    <w:rsid w:val="660B3602"/>
    <w:rsid w:val="6703088E"/>
    <w:rsid w:val="673E33DE"/>
    <w:rsid w:val="67A52D65"/>
    <w:rsid w:val="6820195F"/>
    <w:rsid w:val="683A1F7D"/>
    <w:rsid w:val="685017A0"/>
    <w:rsid w:val="68680898"/>
    <w:rsid w:val="68E72104"/>
    <w:rsid w:val="69791802"/>
    <w:rsid w:val="697F1322"/>
    <w:rsid w:val="69C13E71"/>
    <w:rsid w:val="69E95A08"/>
    <w:rsid w:val="6A3F1373"/>
    <w:rsid w:val="6A7D43A3"/>
    <w:rsid w:val="6A9811DC"/>
    <w:rsid w:val="6ADE1FDD"/>
    <w:rsid w:val="6AF503DD"/>
    <w:rsid w:val="6B030D4C"/>
    <w:rsid w:val="6B9145AA"/>
    <w:rsid w:val="6C0606FB"/>
    <w:rsid w:val="6C5546A1"/>
    <w:rsid w:val="6C6A0907"/>
    <w:rsid w:val="6C924135"/>
    <w:rsid w:val="6CBA18DE"/>
    <w:rsid w:val="6D1B17DA"/>
    <w:rsid w:val="6D5D6493"/>
    <w:rsid w:val="6E0214BE"/>
    <w:rsid w:val="6E2A4841"/>
    <w:rsid w:val="6E4E756D"/>
    <w:rsid w:val="6E5A0C83"/>
    <w:rsid w:val="6E612A2C"/>
    <w:rsid w:val="6F3C482C"/>
    <w:rsid w:val="6F7A7103"/>
    <w:rsid w:val="6F885CC3"/>
    <w:rsid w:val="6FC50CC6"/>
    <w:rsid w:val="6FF13869"/>
    <w:rsid w:val="708315D3"/>
    <w:rsid w:val="70FA674D"/>
    <w:rsid w:val="712744BE"/>
    <w:rsid w:val="715403A3"/>
    <w:rsid w:val="717C4D3F"/>
    <w:rsid w:val="725D3437"/>
    <w:rsid w:val="7298446F"/>
    <w:rsid w:val="729C31C4"/>
    <w:rsid w:val="72D46151"/>
    <w:rsid w:val="73722F12"/>
    <w:rsid w:val="738F6C0C"/>
    <w:rsid w:val="739B1C57"/>
    <w:rsid w:val="73E21E46"/>
    <w:rsid w:val="73EA2AA9"/>
    <w:rsid w:val="7443665D"/>
    <w:rsid w:val="75573A71"/>
    <w:rsid w:val="757A03BA"/>
    <w:rsid w:val="757C1E26"/>
    <w:rsid w:val="75A702C8"/>
    <w:rsid w:val="75CD4430"/>
    <w:rsid w:val="763E7DF8"/>
    <w:rsid w:val="76404969"/>
    <w:rsid w:val="764A3CD3"/>
    <w:rsid w:val="764C417F"/>
    <w:rsid w:val="766109AA"/>
    <w:rsid w:val="76655312"/>
    <w:rsid w:val="777D1E86"/>
    <w:rsid w:val="78670B6C"/>
    <w:rsid w:val="788D434B"/>
    <w:rsid w:val="78C31B1A"/>
    <w:rsid w:val="78DE2ED0"/>
    <w:rsid w:val="790A599B"/>
    <w:rsid w:val="7928471E"/>
    <w:rsid w:val="79685F4F"/>
    <w:rsid w:val="7ADB2F75"/>
    <w:rsid w:val="7B2A5E81"/>
    <w:rsid w:val="7B3D5BB4"/>
    <w:rsid w:val="7B533629"/>
    <w:rsid w:val="7B652CB3"/>
    <w:rsid w:val="7BC10593"/>
    <w:rsid w:val="7BDF6C6B"/>
    <w:rsid w:val="7C5E4034"/>
    <w:rsid w:val="7CD77733"/>
    <w:rsid w:val="7CEF20EA"/>
    <w:rsid w:val="7D214B42"/>
    <w:rsid w:val="7D2A03BA"/>
    <w:rsid w:val="7D6C452F"/>
    <w:rsid w:val="7D7753C9"/>
    <w:rsid w:val="7DC97BD3"/>
    <w:rsid w:val="7ED44A81"/>
    <w:rsid w:val="7EE43DD0"/>
    <w:rsid w:val="7F0C421B"/>
    <w:rsid w:val="7F17094D"/>
    <w:rsid w:val="7F457350"/>
    <w:rsid w:val="7F705BA9"/>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autoRedefine/>
    <w:qFormat/>
    <w:uiPriority w:val="0"/>
    <w:pPr>
      <w:keepNext/>
      <w:keepLines/>
      <w:spacing w:before="260" w:after="260" w:line="413" w:lineRule="auto"/>
      <w:outlineLvl w:val="1"/>
    </w:pPr>
    <w:rPr>
      <w:rFonts w:ascii="Arial" w:hAnsi="Arial" w:eastAsia="黑体"/>
      <w:b/>
      <w:bCs/>
      <w:sz w:val="32"/>
      <w:szCs w:val="32"/>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rPr>
  </w:style>
  <w:style w:type="character" w:customStyle="1" w:styleId="7">
    <w:name w:val="apple-style-span"/>
    <w:autoRedefine/>
    <w:qFormat/>
    <w:uiPriority w:val="0"/>
  </w:style>
  <w:style w:type="paragraph" w:styleId="8">
    <w:name w:val="List Paragraph"/>
    <w:basedOn w:val="1"/>
    <w:autoRedefine/>
    <w:qFormat/>
    <w:uiPriority w:val="34"/>
    <w:pPr>
      <w:ind w:firstLine="420" w:firstLineChars="200"/>
    </w:pPr>
    <w:rPr>
      <w:szCs w:val="22"/>
    </w:rPr>
  </w:style>
  <w:style w:type="character" w:customStyle="1" w:styleId="9">
    <w:name w:val="font21"/>
    <w:basedOn w:val="5"/>
    <w:qFormat/>
    <w:uiPriority w:val="0"/>
    <w:rPr>
      <w:rFonts w:hint="default" w:ascii="仿宋_GB2312" w:eastAsia="仿宋_GB2312" w:cs="仿宋_GB2312"/>
      <w:color w:val="000000"/>
      <w:sz w:val="22"/>
      <w:szCs w:val="22"/>
      <w:u w:val="none"/>
    </w:rPr>
  </w:style>
  <w:style w:type="character" w:customStyle="1" w:styleId="10">
    <w:name w:val="font31"/>
    <w:basedOn w:val="5"/>
    <w:qFormat/>
    <w:uiPriority w:val="0"/>
    <w:rPr>
      <w:rFonts w:hint="default" w:ascii="仿宋_GB2312" w:eastAsia="仿宋_GB2312" w:cs="仿宋_GB2312"/>
      <w:color w:val="000000"/>
      <w:sz w:val="22"/>
      <w:szCs w:val="22"/>
      <w:u w:val="none"/>
      <w:vertAlign w:val="superscript"/>
    </w:rPr>
  </w:style>
  <w:style w:type="character" w:customStyle="1" w:styleId="11">
    <w:name w:val="font41"/>
    <w:basedOn w:val="5"/>
    <w:qFormat/>
    <w:uiPriority w:val="0"/>
    <w:rPr>
      <w:rFonts w:hint="default" w:ascii="仿宋_GB2312" w:eastAsia="仿宋_GB2312" w:cs="仿宋_GB2312"/>
      <w:color w:val="000000"/>
      <w:sz w:val="22"/>
      <w:szCs w:val="22"/>
      <w:u w:val="none"/>
    </w:rPr>
  </w:style>
  <w:style w:type="character" w:customStyle="1" w:styleId="12">
    <w:name w:val="font11"/>
    <w:basedOn w:val="5"/>
    <w:qFormat/>
    <w:uiPriority w:val="0"/>
    <w:rPr>
      <w:rFonts w:hint="default" w:ascii="仿宋_GB2312" w:eastAsia="仿宋_GB2312" w:cs="仿宋_GB2312"/>
      <w:color w:val="000000"/>
      <w:sz w:val="22"/>
      <w:szCs w:val="22"/>
      <w:u w:val="none"/>
    </w:rPr>
  </w:style>
  <w:style w:type="character" w:customStyle="1" w:styleId="13">
    <w:name w:val="font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478</Words>
  <Characters>492</Characters>
  <Lines>0</Lines>
  <Paragraphs>0</Paragraphs>
  <TotalTime>0</TotalTime>
  <ScaleCrop>false</ScaleCrop>
  <LinksUpToDate>false</LinksUpToDate>
  <CharactersWithSpaces>492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2023-02-10T09:17:00Z</dcterms:created>
  <dc:creator>admin</dc:creator>
  <cp:lastModifiedBy>～曼珠沙华～</cp:lastModifiedBy>
  <cp:lastPrinted>2025-06-13T01:16:00Z</cp:lastPrinted>
  <dcterms:modified xsi:type="dcterms:W3CDTF">2026-05-09T07:20:49Z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8C9AC344045746E39FED25C28C78BF5C_13</vt:lpwstr>
  </property>
  <property fmtid="{D5CDD505-2E9C-101B-9397-08002B2CF9AE}" pid="4" name="KSOTemplateDocerSaveRecord">
    <vt:lpwstr>eyJoZGlkIjoiYzZiZTBmNGEwN2E3MDFkOWM0MDVkMWY2NGI2ODRmM2IiLCJ1c2VySWQiOiI1NjY5ODYxOTMifQ==</vt:lpwstr>
  </property>
</Properties>
</file>