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4EC3E">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left"/>
        <w:rPr>
          <w:rFonts w:hint="eastAsia"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附件一：</w:t>
      </w:r>
    </w:p>
    <w:tbl>
      <w:tblPr>
        <w:tblStyle w:val="4"/>
        <w:tblW w:w="9868" w:type="dxa"/>
        <w:tblInd w:w="-434" w:type="dxa"/>
        <w:tblLayout w:type="fixed"/>
        <w:tblCellMar>
          <w:top w:w="0" w:type="dxa"/>
          <w:left w:w="108" w:type="dxa"/>
          <w:bottom w:w="0" w:type="dxa"/>
          <w:right w:w="108" w:type="dxa"/>
        </w:tblCellMar>
      </w:tblPr>
      <w:tblGrid>
        <w:gridCol w:w="1140"/>
        <w:gridCol w:w="7185"/>
        <w:gridCol w:w="735"/>
        <w:gridCol w:w="808"/>
      </w:tblGrid>
      <w:tr w14:paraId="59409BD7">
        <w:tblPrEx>
          <w:tblCellMar>
            <w:top w:w="0" w:type="dxa"/>
            <w:left w:w="108" w:type="dxa"/>
            <w:bottom w:w="0" w:type="dxa"/>
            <w:right w:w="108" w:type="dxa"/>
          </w:tblCellMar>
        </w:tblPrEx>
        <w:trPr>
          <w:trHeight w:val="455" w:hRule="atLeast"/>
        </w:trPr>
        <w:tc>
          <w:tcPr>
            <w:tcW w:w="9868"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17A6">
            <w:pPr>
              <w:widowControl/>
              <w:spacing w:line="300" w:lineRule="exact"/>
              <w:ind w:firstLine="3935" w:firstLineChars="1400"/>
              <w:jc w:val="both"/>
              <w:textAlignment w:val="center"/>
              <w:rPr>
                <w:rFonts w:hint="eastAsia" w:ascii="宋体" w:hAnsi="宋体" w:cs="宋体"/>
                <w:b/>
                <w:bCs/>
                <w:color w:val="000000" w:themeColor="text1"/>
                <w:kern w:val="0"/>
                <w:sz w:val="24"/>
                <w:szCs w:val="24"/>
                <w:lang w:bidi="ar"/>
                <w14:textFill>
                  <w14:solidFill>
                    <w14:schemeClr w14:val="tx1"/>
                  </w14:solidFill>
                </w14:textFill>
              </w:rPr>
            </w:pPr>
            <w:r>
              <w:rPr>
                <w:rFonts w:hint="eastAsia" w:ascii="宋体" w:hAnsi="宋体" w:cs="Arial"/>
                <w:b/>
                <w:bCs/>
                <w:color w:val="000000" w:themeColor="text1"/>
                <w:kern w:val="2"/>
                <w:sz w:val="28"/>
                <w:szCs w:val="28"/>
                <w:lang w:val="en-US" w:eastAsia="zh-CN" w:bidi="ar-SA"/>
                <w14:textFill>
                  <w14:solidFill>
                    <w14:schemeClr w14:val="tx1"/>
                  </w14:solidFill>
                </w14:textFill>
              </w:rPr>
              <w:t>技术要求</w:t>
            </w:r>
          </w:p>
        </w:tc>
      </w:tr>
      <w:tr w14:paraId="38EDE91D">
        <w:tblPrEx>
          <w:tblCellMar>
            <w:top w:w="0" w:type="dxa"/>
            <w:left w:w="108" w:type="dxa"/>
            <w:bottom w:w="0" w:type="dxa"/>
            <w:right w:w="108" w:type="dxa"/>
          </w:tblCellMar>
        </w:tblPrEx>
        <w:trPr>
          <w:trHeight w:val="480" w:hRule="atLeast"/>
        </w:trPr>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19D94">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ascii="宋体" w:hAnsi="宋体" w:cs="宋体"/>
                <w:b w:val="0"/>
                <w:bCs w:val="0"/>
                <w:color w:val="000000" w:themeColor="text1"/>
                <w:sz w:val="24"/>
                <w:szCs w:val="24"/>
                <w14:textFill>
                  <w14:solidFill>
                    <w14:schemeClr w14:val="tx1"/>
                  </w14:solidFill>
                </w14:textFill>
              </w:rPr>
            </w:pPr>
            <w:r>
              <w:rPr>
                <w:rFonts w:hint="eastAsia" w:asciiTheme="minorEastAsia" w:hAnsiTheme="minorEastAsia" w:eastAsiaTheme="minorEastAsia" w:cstheme="minorEastAsia"/>
                <w:b/>
                <w:bCs/>
                <w:color w:val="000000"/>
                <w:kern w:val="0"/>
                <w:sz w:val="24"/>
                <w:szCs w:val="24"/>
                <w:lang w:val="en-US" w:eastAsia="zh-CN" w:bidi="ar"/>
              </w:rPr>
              <w:t>品目：</w:t>
            </w:r>
          </w:p>
        </w:tc>
        <w:tc>
          <w:tcPr>
            <w:tcW w:w="7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F8A55">
            <w:pPr>
              <w:spacing w:line="360" w:lineRule="auto"/>
              <w:jc w:val="left"/>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bCs/>
                <w:color w:val="000000" w:themeColor="text1"/>
                <w:kern w:val="0"/>
                <w:sz w:val="24"/>
                <w:szCs w:val="24"/>
                <w:lang w:val="en-US" w:eastAsia="zh-CN" w:bidi="ar"/>
                <w14:textFill>
                  <w14:solidFill>
                    <w14:schemeClr w14:val="tx1"/>
                  </w14:solidFill>
                </w14:textFill>
              </w:rPr>
              <w:t>全自动生化分析仪</w:t>
            </w:r>
          </w:p>
        </w:tc>
        <w:tc>
          <w:tcPr>
            <w:tcW w:w="735" w:type="dxa"/>
            <w:tcBorders>
              <w:top w:val="single" w:color="000000" w:sz="4" w:space="0"/>
              <w:left w:val="single" w:color="000000" w:sz="4" w:space="0"/>
              <w:bottom w:val="single" w:color="000000" w:sz="4" w:space="0"/>
              <w:right w:val="single" w:color="000000" w:sz="4" w:space="0"/>
            </w:tcBorders>
            <w:vAlign w:val="center"/>
          </w:tcPr>
          <w:p w14:paraId="3FEA6EE1">
            <w:pPr>
              <w:widowControl/>
              <w:spacing w:line="300" w:lineRule="exact"/>
              <w:jc w:val="left"/>
              <w:textAlignment w:val="center"/>
              <w:rPr>
                <w:rFonts w:ascii="宋体" w:hAnsi="宋体" w:cs="宋体"/>
                <w:b/>
                <w:bCs/>
                <w:color w:val="000000" w:themeColor="text1"/>
                <w:kern w:val="0"/>
                <w:sz w:val="24"/>
                <w:szCs w:val="24"/>
                <w:lang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808" w:type="dxa"/>
            <w:tcBorders>
              <w:top w:val="single" w:color="000000" w:sz="4" w:space="0"/>
              <w:left w:val="single" w:color="000000" w:sz="4" w:space="0"/>
              <w:bottom w:val="single" w:color="000000" w:sz="4" w:space="0"/>
              <w:right w:val="single" w:color="000000" w:sz="4" w:space="0"/>
            </w:tcBorders>
            <w:vAlign w:val="center"/>
          </w:tcPr>
          <w:p w14:paraId="1BC2263C">
            <w:pPr>
              <w:widowControl/>
              <w:spacing w:line="300" w:lineRule="exact"/>
              <w:jc w:val="left"/>
              <w:textAlignment w:val="center"/>
              <w:rPr>
                <w:rFonts w:ascii="宋体" w:hAnsi="宋体" w:cs="宋体"/>
                <w:b/>
                <w:bCs/>
                <w:color w:val="000000" w:themeColor="text1"/>
                <w:kern w:val="0"/>
                <w:sz w:val="24"/>
                <w:szCs w:val="24"/>
                <w:lang w:bidi="ar"/>
                <w14:textFill>
                  <w14:solidFill>
                    <w14:schemeClr w14:val="tx1"/>
                  </w14:solidFill>
                </w14:textFill>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0B5A1B06">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7862B8F0">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bookmarkStart w:id="0" w:name="OLE_LINK1" w:colFirst="1" w:colLast="1"/>
            <w:r>
              <w:rPr>
                <w:rFonts w:hint="eastAsia" w:asciiTheme="minorEastAsia" w:hAnsiTheme="minorEastAsia" w:eastAsiaTheme="minorEastAsia" w:cstheme="minorEastAsia"/>
                <w:b w:val="0"/>
                <w:bCs w:val="0"/>
                <w:color w:val="000000"/>
                <w:kern w:val="0"/>
                <w:sz w:val="24"/>
                <w:szCs w:val="24"/>
                <w:lang w:val="en-US" w:eastAsia="zh-CN" w:bidi="ar"/>
              </w:rPr>
              <w:t>1</w:t>
            </w:r>
          </w:p>
        </w:tc>
        <w:tc>
          <w:tcPr>
            <w:tcW w:w="7185" w:type="dxa"/>
            <w:tcBorders>
              <w:top w:val="single" w:color="auto" w:sz="4" w:space="0"/>
              <w:left w:val="single" w:color="auto" w:sz="4" w:space="0"/>
              <w:bottom w:val="single" w:color="auto" w:sz="4" w:space="0"/>
              <w:right w:val="single" w:color="auto" w:sz="4" w:space="0"/>
            </w:tcBorders>
            <w:vAlign w:val="center"/>
          </w:tcPr>
          <w:p w14:paraId="778F76DD">
            <w:pPr>
              <w:keepNext w:val="0"/>
              <w:keepLines w:val="0"/>
              <w:widowControl/>
              <w:suppressLineNumbers w:val="0"/>
              <w:jc w:val="lef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单模块检测速度：光学恒速（不含离子）≥2000测试/小时；电解质分析速度≥600 测试/小时。电解质至少包含K、Na、Cl三个项目。</w:t>
            </w:r>
          </w:p>
        </w:tc>
        <w:tc>
          <w:tcPr>
            <w:tcW w:w="735" w:type="dxa"/>
            <w:tcBorders>
              <w:top w:val="single" w:color="auto" w:sz="4" w:space="0"/>
              <w:left w:val="single" w:color="auto" w:sz="4" w:space="0"/>
              <w:bottom w:val="single" w:color="auto" w:sz="4" w:space="0"/>
              <w:right w:val="single" w:color="auto" w:sz="4" w:space="0"/>
            </w:tcBorders>
            <w:vAlign w:val="top"/>
          </w:tcPr>
          <w:p w14:paraId="08088B9E">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3EC950E4">
            <w:pPr>
              <w:spacing w:line="360" w:lineRule="auto"/>
              <w:rPr>
                <w:rFonts w:hint="eastAsia" w:ascii="宋体" w:hAnsi="宋体" w:eastAsia="宋体" w:cs="宋体"/>
                <w:sz w:val="24"/>
                <w:szCs w:val="24"/>
                <w:lang w:val="en-US" w:eastAsia="zh-CN"/>
              </w:rPr>
            </w:pPr>
          </w:p>
        </w:tc>
      </w:tr>
      <w:tr w14:paraId="0519C9A9">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577642F4">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2</w:t>
            </w:r>
          </w:p>
        </w:tc>
        <w:tc>
          <w:tcPr>
            <w:tcW w:w="7185" w:type="dxa"/>
            <w:tcBorders>
              <w:top w:val="single" w:color="auto" w:sz="4" w:space="0"/>
              <w:left w:val="single" w:color="auto" w:sz="4" w:space="0"/>
              <w:bottom w:val="single" w:color="auto" w:sz="4" w:space="0"/>
              <w:right w:val="single" w:color="auto" w:sz="4" w:space="0"/>
            </w:tcBorders>
            <w:vAlign w:val="center"/>
          </w:tcPr>
          <w:p w14:paraId="21E06447">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分析项目：单模块可同时开展项目数≥70个。</w:t>
            </w:r>
          </w:p>
        </w:tc>
        <w:tc>
          <w:tcPr>
            <w:tcW w:w="735" w:type="dxa"/>
            <w:tcBorders>
              <w:top w:val="single" w:color="auto" w:sz="4" w:space="0"/>
              <w:left w:val="single" w:color="auto" w:sz="4" w:space="0"/>
              <w:bottom w:val="single" w:color="auto" w:sz="4" w:space="0"/>
              <w:right w:val="single" w:color="auto" w:sz="4" w:space="0"/>
            </w:tcBorders>
            <w:vAlign w:val="top"/>
          </w:tcPr>
          <w:p w14:paraId="7D17D7C9">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21131DB8">
            <w:pPr>
              <w:spacing w:line="360" w:lineRule="auto"/>
              <w:rPr>
                <w:rFonts w:hint="eastAsia" w:ascii="宋体" w:hAnsi="宋体" w:eastAsia="宋体" w:cs="宋体"/>
                <w:sz w:val="24"/>
                <w:szCs w:val="24"/>
                <w:lang w:val="en-US" w:eastAsia="zh-CN"/>
              </w:rPr>
            </w:pPr>
          </w:p>
        </w:tc>
      </w:tr>
      <w:tr w14:paraId="1624715A">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2DAC27AE">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3</w:t>
            </w:r>
          </w:p>
        </w:tc>
        <w:tc>
          <w:tcPr>
            <w:tcW w:w="7185" w:type="dxa"/>
            <w:tcBorders>
              <w:top w:val="single" w:color="auto" w:sz="4" w:space="0"/>
              <w:left w:val="single" w:color="auto" w:sz="4" w:space="0"/>
              <w:bottom w:val="single" w:color="auto" w:sz="4" w:space="0"/>
              <w:right w:val="single" w:color="auto" w:sz="4" w:space="0"/>
            </w:tcBorders>
            <w:vAlign w:val="center"/>
          </w:tcPr>
          <w:p w14:paraId="0A7B4493">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分析方法：比色法、比浊法、离子选择电极法。</w:t>
            </w:r>
          </w:p>
        </w:tc>
        <w:tc>
          <w:tcPr>
            <w:tcW w:w="735" w:type="dxa"/>
            <w:tcBorders>
              <w:top w:val="single" w:color="auto" w:sz="4" w:space="0"/>
              <w:left w:val="single" w:color="auto" w:sz="4" w:space="0"/>
              <w:bottom w:val="single" w:color="auto" w:sz="4" w:space="0"/>
              <w:right w:val="single" w:color="auto" w:sz="4" w:space="0"/>
            </w:tcBorders>
            <w:vAlign w:val="top"/>
          </w:tcPr>
          <w:p w14:paraId="1F1DE693">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7761018E">
            <w:pPr>
              <w:spacing w:line="360" w:lineRule="auto"/>
              <w:rPr>
                <w:rFonts w:hint="eastAsia" w:ascii="宋体" w:hAnsi="宋体" w:eastAsia="宋体" w:cs="宋体"/>
                <w:sz w:val="24"/>
                <w:szCs w:val="24"/>
                <w:lang w:val="en-US" w:eastAsia="zh-CN"/>
              </w:rPr>
            </w:pPr>
          </w:p>
        </w:tc>
      </w:tr>
      <w:tr w14:paraId="5CAF9556">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1114DCD9">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4</w:t>
            </w:r>
          </w:p>
        </w:tc>
        <w:tc>
          <w:tcPr>
            <w:tcW w:w="7185" w:type="dxa"/>
            <w:tcBorders>
              <w:top w:val="single" w:color="auto" w:sz="4" w:space="0"/>
              <w:left w:val="single" w:color="auto" w:sz="4" w:space="0"/>
              <w:bottom w:val="single" w:color="auto" w:sz="4" w:space="0"/>
              <w:right w:val="single" w:color="auto" w:sz="4" w:space="0"/>
            </w:tcBorders>
            <w:vAlign w:val="center"/>
          </w:tcPr>
          <w:p w14:paraId="0AB27286">
            <w:pPr>
              <w:keepNext w:val="0"/>
              <w:keepLines w:val="0"/>
              <w:widowControl/>
              <w:suppressLineNumbers w:val="0"/>
              <w:jc w:val="left"/>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支持样本类型：血清、血浆、尿液、脑脊液、全血。</w:t>
            </w:r>
          </w:p>
        </w:tc>
        <w:tc>
          <w:tcPr>
            <w:tcW w:w="735" w:type="dxa"/>
            <w:tcBorders>
              <w:top w:val="single" w:color="auto" w:sz="4" w:space="0"/>
              <w:left w:val="single" w:color="auto" w:sz="4" w:space="0"/>
              <w:bottom w:val="single" w:color="auto" w:sz="4" w:space="0"/>
              <w:right w:val="single" w:color="auto" w:sz="4" w:space="0"/>
            </w:tcBorders>
            <w:vAlign w:val="top"/>
          </w:tcPr>
          <w:p w14:paraId="74E407A4">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4B123E9D">
            <w:pPr>
              <w:spacing w:line="360" w:lineRule="auto"/>
              <w:rPr>
                <w:rFonts w:hint="eastAsia" w:ascii="宋体" w:hAnsi="宋体" w:eastAsia="宋体" w:cs="宋体"/>
                <w:sz w:val="24"/>
                <w:szCs w:val="24"/>
                <w:lang w:val="en-US" w:eastAsia="zh-CN"/>
              </w:rPr>
            </w:pPr>
          </w:p>
        </w:tc>
      </w:tr>
      <w:tr w14:paraId="52BF9DA9">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794E4AE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5</w:t>
            </w:r>
          </w:p>
        </w:tc>
        <w:tc>
          <w:tcPr>
            <w:tcW w:w="7185" w:type="dxa"/>
            <w:tcBorders>
              <w:top w:val="single" w:color="auto" w:sz="4" w:space="0"/>
              <w:left w:val="single" w:color="auto" w:sz="4" w:space="0"/>
              <w:bottom w:val="single" w:color="auto" w:sz="4" w:space="0"/>
              <w:right w:val="single" w:color="auto" w:sz="4" w:space="0"/>
            </w:tcBorders>
            <w:vAlign w:val="center"/>
          </w:tcPr>
          <w:p w14:paraId="71D6B4D5">
            <w:pPr>
              <w:keepNext w:val="0"/>
              <w:keepLines w:val="0"/>
              <w:widowControl/>
              <w:suppressLineNumbers w:val="0"/>
              <w:jc w:val="both"/>
              <w:textAlignment w:val="center"/>
              <w:rPr>
                <w:rFonts w:hint="eastAsia"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进样方式：智能控制，具备急诊样本优先进样。</w:t>
            </w:r>
          </w:p>
        </w:tc>
        <w:tc>
          <w:tcPr>
            <w:tcW w:w="735" w:type="dxa"/>
            <w:tcBorders>
              <w:top w:val="single" w:color="auto" w:sz="4" w:space="0"/>
              <w:left w:val="single" w:color="auto" w:sz="4" w:space="0"/>
              <w:bottom w:val="single" w:color="auto" w:sz="4" w:space="0"/>
              <w:right w:val="single" w:color="auto" w:sz="4" w:space="0"/>
            </w:tcBorders>
            <w:vAlign w:val="top"/>
          </w:tcPr>
          <w:p w14:paraId="10C79930">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3EEEBF2F">
            <w:pPr>
              <w:spacing w:line="360" w:lineRule="auto"/>
              <w:rPr>
                <w:rFonts w:hint="eastAsia" w:ascii="宋体" w:hAnsi="宋体" w:eastAsia="宋体" w:cs="宋体"/>
                <w:sz w:val="24"/>
                <w:szCs w:val="24"/>
                <w:lang w:val="en-US" w:eastAsia="zh-CN"/>
              </w:rPr>
            </w:pPr>
          </w:p>
        </w:tc>
      </w:tr>
      <w:tr w14:paraId="3DAC8843">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5044699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6</w:t>
            </w:r>
          </w:p>
        </w:tc>
        <w:tc>
          <w:tcPr>
            <w:tcW w:w="7185" w:type="dxa"/>
            <w:tcBorders>
              <w:top w:val="single" w:color="auto" w:sz="4" w:space="0"/>
              <w:left w:val="single" w:color="auto" w:sz="4" w:space="0"/>
              <w:bottom w:val="single" w:color="auto" w:sz="4" w:space="0"/>
              <w:right w:val="single" w:color="auto" w:sz="4" w:space="0"/>
            </w:tcBorders>
            <w:vAlign w:val="center"/>
          </w:tcPr>
          <w:p w14:paraId="7A52FEA0">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 xml:space="preserve">试剂位：R1，R2试剂位均需≥70个，合计≥140个。 </w:t>
            </w:r>
          </w:p>
        </w:tc>
        <w:tc>
          <w:tcPr>
            <w:tcW w:w="735" w:type="dxa"/>
            <w:tcBorders>
              <w:top w:val="single" w:color="auto" w:sz="4" w:space="0"/>
              <w:left w:val="single" w:color="auto" w:sz="4" w:space="0"/>
              <w:bottom w:val="single" w:color="auto" w:sz="4" w:space="0"/>
              <w:right w:val="single" w:color="auto" w:sz="4" w:space="0"/>
            </w:tcBorders>
            <w:vAlign w:val="center"/>
          </w:tcPr>
          <w:p w14:paraId="75206FD8">
            <w:pPr>
              <w:widowControl/>
              <w:spacing w:line="300" w:lineRule="exact"/>
              <w:jc w:val="left"/>
              <w:textAlignment w:val="center"/>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center"/>
          </w:tcPr>
          <w:p w14:paraId="707B4646">
            <w:pPr>
              <w:widowControl/>
              <w:spacing w:line="300" w:lineRule="exact"/>
              <w:jc w:val="left"/>
              <w:textAlignment w:val="center"/>
              <w:rPr>
                <w:rFonts w:hint="eastAsia" w:ascii="宋体" w:hAnsi="宋体" w:eastAsia="宋体" w:cs="宋体"/>
                <w:sz w:val="24"/>
                <w:szCs w:val="24"/>
                <w:lang w:val="en-US" w:eastAsia="zh-CN"/>
              </w:rPr>
            </w:pPr>
          </w:p>
        </w:tc>
      </w:tr>
      <w:tr w14:paraId="4FD968D7">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27AF29C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7</w:t>
            </w:r>
          </w:p>
        </w:tc>
        <w:tc>
          <w:tcPr>
            <w:tcW w:w="7185" w:type="dxa"/>
            <w:tcBorders>
              <w:top w:val="single" w:color="auto" w:sz="4" w:space="0"/>
              <w:left w:val="single" w:color="auto" w:sz="4" w:space="0"/>
              <w:bottom w:val="single" w:color="auto" w:sz="4" w:space="0"/>
              <w:right w:val="single" w:color="auto" w:sz="4" w:space="0"/>
            </w:tcBorders>
            <w:vAlign w:val="center"/>
          </w:tcPr>
          <w:p w14:paraId="08131187">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总反应体积：≤100ul。</w:t>
            </w:r>
            <w:bookmarkStart w:id="1" w:name="_GoBack"/>
            <w:bookmarkEnd w:id="1"/>
          </w:p>
        </w:tc>
        <w:tc>
          <w:tcPr>
            <w:tcW w:w="735" w:type="dxa"/>
            <w:tcBorders>
              <w:top w:val="single" w:color="auto" w:sz="4" w:space="0"/>
              <w:left w:val="single" w:color="auto" w:sz="4" w:space="0"/>
              <w:bottom w:val="single" w:color="auto" w:sz="4" w:space="0"/>
              <w:right w:val="single" w:color="auto" w:sz="4" w:space="0"/>
            </w:tcBorders>
            <w:vAlign w:val="top"/>
          </w:tcPr>
          <w:p w14:paraId="583A119C">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45CBBB42">
            <w:pPr>
              <w:spacing w:line="360" w:lineRule="auto"/>
              <w:rPr>
                <w:rFonts w:hint="eastAsia" w:ascii="宋体" w:hAnsi="宋体" w:eastAsia="宋体" w:cs="宋体"/>
                <w:sz w:val="24"/>
                <w:szCs w:val="24"/>
                <w:lang w:val="en-US" w:eastAsia="zh-CN"/>
              </w:rPr>
            </w:pPr>
          </w:p>
        </w:tc>
      </w:tr>
      <w:tr w14:paraId="2503EAE7">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401070F8">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8</w:t>
            </w:r>
          </w:p>
        </w:tc>
        <w:tc>
          <w:tcPr>
            <w:tcW w:w="7185" w:type="dxa"/>
            <w:tcBorders>
              <w:top w:val="single" w:color="auto" w:sz="4" w:space="0"/>
              <w:left w:val="single" w:color="auto" w:sz="4" w:space="0"/>
              <w:bottom w:val="single" w:color="auto" w:sz="4" w:space="0"/>
              <w:right w:val="single" w:color="auto" w:sz="4" w:space="0"/>
            </w:tcBorders>
            <w:vAlign w:val="center"/>
          </w:tcPr>
          <w:p w14:paraId="0AB988EE">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 xml:space="preserve">恒温系统：温度控制在37℃±0.1℃。 </w:t>
            </w:r>
          </w:p>
        </w:tc>
        <w:tc>
          <w:tcPr>
            <w:tcW w:w="735" w:type="dxa"/>
            <w:tcBorders>
              <w:top w:val="single" w:color="auto" w:sz="4" w:space="0"/>
              <w:left w:val="single" w:color="auto" w:sz="4" w:space="0"/>
              <w:bottom w:val="single" w:color="auto" w:sz="4" w:space="0"/>
              <w:right w:val="single" w:color="auto" w:sz="4" w:space="0"/>
            </w:tcBorders>
            <w:vAlign w:val="top"/>
          </w:tcPr>
          <w:p w14:paraId="7698066E">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21A80F1F">
            <w:pPr>
              <w:spacing w:line="360" w:lineRule="auto"/>
              <w:rPr>
                <w:rFonts w:hint="eastAsia" w:ascii="宋体" w:hAnsi="宋体" w:eastAsia="宋体" w:cs="宋体"/>
                <w:sz w:val="24"/>
                <w:szCs w:val="24"/>
                <w:lang w:val="en-US" w:eastAsia="zh-CN"/>
              </w:rPr>
            </w:pPr>
          </w:p>
        </w:tc>
      </w:tr>
      <w:tr w14:paraId="3B74A5E6">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7E340E54">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9</w:t>
            </w:r>
          </w:p>
        </w:tc>
        <w:tc>
          <w:tcPr>
            <w:tcW w:w="7185" w:type="dxa"/>
            <w:tcBorders>
              <w:top w:val="single" w:color="auto" w:sz="4" w:space="0"/>
              <w:left w:val="single" w:color="auto" w:sz="4" w:space="0"/>
              <w:bottom w:val="single" w:color="auto" w:sz="4" w:space="0"/>
              <w:right w:val="single" w:color="auto" w:sz="4" w:space="0"/>
            </w:tcBorders>
            <w:vAlign w:val="center"/>
          </w:tcPr>
          <w:p w14:paraId="683BAF27">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 xml:space="preserve">比色杯：反应杯采用石英玻璃比色杯。 </w:t>
            </w:r>
          </w:p>
        </w:tc>
        <w:tc>
          <w:tcPr>
            <w:tcW w:w="735" w:type="dxa"/>
            <w:tcBorders>
              <w:top w:val="single" w:color="auto" w:sz="4" w:space="0"/>
              <w:left w:val="single" w:color="auto" w:sz="4" w:space="0"/>
              <w:bottom w:val="single" w:color="auto" w:sz="4" w:space="0"/>
              <w:right w:val="single" w:color="auto" w:sz="4" w:space="0"/>
            </w:tcBorders>
            <w:vAlign w:val="top"/>
          </w:tcPr>
          <w:p w14:paraId="6A9925C4">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29D9861A">
            <w:pPr>
              <w:spacing w:line="360" w:lineRule="auto"/>
              <w:rPr>
                <w:rFonts w:hint="eastAsia" w:ascii="宋体" w:hAnsi="宋体" w:eastAsia="宋体" w:cs="宋体"/>
                <w:sz w:val="24"/>
                <w:szCs w:val="24"/>
                <w:lang w:val="en-US" w:eastAsia="zh-CN"/>
              </w:rPr>
            </w:pPr>
          </w:p>
        </w:tc>
      </w:tr>
      <w:tr w14:paraId="1DCD3106">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492C6C1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10</w:t>
            </w:r>
          </w:p>
        </w:tc>
        <w:tc>
          <w:tcPr>
            <w:tcW w:w="7185" w:type="dxa"/>
            <w:tcBorders>
              <w:top w:val="single" w:color="auto" w:sz="4" w:space="0"/>
              <w:left w:val="single" w:color="auto" w:sz="4" w:space="0"/>
              <w:bottom w:val="single" w:color="auto" w:sz="4" w:space="0"/>
              <w:right w:val="single" w:color="auto" w:sz="4" w:space="0"/>
            </w:tcBorders>
            <w:vAlign w:val="center"/>
          </w:tcPr>
          <w:p w14:paraId="33D09E93">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测定波长：≥13个。</w:t>
            </w:r>
          </w:p>
        </w:tc>
        <w:tc>
          <w:tcPr>
            <w:tcW w:w="735" w:type="dxa"/>
            <w:tcBorders>
              <w:top w:val="single" w:color="auto" w:sz="4" w:space="0"/>
              <w:left w:val="single" w:color="auto" w:sz="4" w:space="0"/>
              <w:bottom w:val="single" w:color="auto" w:sz="4" w:space="0"/>
              <w:right w:val="single" w:color="auto" w:sz="4" w:space="0"/>
            </w:tcBorders>
            <w:vAlign w:val="top"/>
          </w:tcPr>
          <w:p w14:paraId="5163E999">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77276923">
            <w:pPr>
              <w:spacing w:line="360" w:lineRule="auto"/>
              <w:rPr>
                <w:rFonts w:hint="eastAsia" w:ascii="宋体" w:hAnsi="宋体" w:eastAsia="宋体" w:cs="宋体"/>
                <w:sz w:val="24"/>
                <w:szCs w:val="24"/>
                <w:lang w:val="en-US" w:eastAsia="zh-CN"/>
              </w:rPr>
            </w:pPr>
          </w:p>
        </w:tc>
      </w:tr>
      <w:tr w14:paraId="33F6C9D4">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70BFDFCF">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11</w:t>
            </w:r>
          </w:p>
        </w:tc>
        <w:tc>
          <w:tcPr>
            <w:tcW w:w="7185" w:type="dxa"/>
            <w:tcBorders>
              <w:top w:val="single" w:color="auto" w:sz="4" w:space="0"/>
              <w:left w:val="single" w:color="auto" w:sz="4" w:space="0"/>
              <w:bottom w:val="single" w:color="auto" w:sz="4" w:space="0"/>
              <w:right w:val="single" w:color="auto" w:sz="4" w:space="0"/>
            </w:tcBorders>
            <w:vAlign w:val="center"/>
          </w:tcPr>
          <w:p w14:paraId="0DFB829C">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 xml:space="preserve">样本稀释功能：可进行样本自动稀释检测。 </w:t>
            </w:r>
          </w:p>
        </w:tc>
        <w:tc>
          <w:tcPr>
            <w:tcW w:w="735" w:type="dxa"/>
            <w:tcBorders>
              <w:top w:val="single" w:color="auto" w:sz="4" w:space="0"/>
              <w:left w:val="single" w:color="auto" w:sz="4" w:space="0"/>
              <w:bottom w:val="single" w:color="auto" w:sz="4" w:space="0"/>
              <w:right w:val="single" w:color="auto" w:sz="4" w:space="0"/>
            </w:tcBorders>
            <w:vAlign w:val="top"/>
          </w:tcPr>
          <w:p w14:paraId="6D7259B6">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134861F4">
            <w:pPr>
              <w:spacing w:line="360" w:lineRule="auto"/>
              <w:rPr>
                <w:rFonts w:hint="eastAsia" w:ascii="宋体" w:hAnsi="宋体" w:eastAsia="宋体" w:cs="宋体"/>
                <w:sz w:val="24"/>
                <w:szCs w:val="24"/>
                <w:lang w:val="en-US" w:eastAsia="zh-CN"/>
              </w:rPr>
            </w:pPr>
          </w:p>
        </w:tc>
      </w:tr>
      <w:tr w14:paraId="44AFB1AF">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030399C5">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12</w:t>
            </w:r>
          </w:p>
        </w:tc>
        <w:tc>
          <w:tcPr>
            <w:tcW w:w="7185" w:type="dxa"/>
            <w:tcBorders>
              <w:top w:val="single" w:color="auto" w:sz="4" w:space="0"/>
              <w:left w:val="single" w:color="auto" w:sz="4" w:space="0"/>
              <w:bottom w:val="single" w:color="auto" w:sz="4" w:space="0"/>
              <w:right w:val="single" w:color="auto" w:sz="4" w:space="0"/>
            </w:tcBorders>
            <w:vAlign w:val="center"/>
          </w:tcPr>
          <w:p w14:paraId="5F991078">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样本容量：样本架轨道式进样，同时可容纳样本数量≥300。</w:t>
            </w:r>
          </w:p>
        </w:tc>
        <w:tc>
          <w:tcPr>
            <w:tcW w:w="735" w:type="dxa"/>
            <w:tcBorders>
              <w:top w:val="single" w:color="auto" w:sz="4" w:space="0"/>
              <w:left w:val="single" w:color="auto" w:sz="4" w:space="0"/>
              <w:bottom w:val="single" w:color="auto" w:sz="4" w:space="0"/>
              <w:right w:val="single" w:color="auto" w:sz="4" w:space="0"/>
            </w:tcBorders>
            <w:vAlign w:val="top"/>
          </w:tcPr>
          <w:p w14:paraId="6659272D">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0E9E2214">
            <w:pPr>
              <w:spacing w:line="360" w:lineRule="auto"/>
              <w:rPr>
                <w:rFonts w:hint="eastAsia" w:ascii="宋体" w:hAnsi="宋体" w:eastAsia="宋体" w:cs="宋体"/>
                <w:sz w:val="24"/>
                <w:szCs w:val="24"/>
                <w:lang w:val="en-US" w:eastAsia="zh-CN"/>
              </w:rPr>
            </w:pPr>
          </w:p>
        </w:tc>
      </w:tr>
      <w:tr w14:paraId="323A3057">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007F00EB">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13</w:t>
            </w:r>
          </w:p>
        </w:tc>
        <w:tc>
          <w:tcPr>
            <w:tcW w:w="7185" w:type="dxa"/>
            <w:tcBorders>
              <w:top w:val="single" w:color="auto" w:sz="4" w:space="0"/>
              <w:left w:val="single" w:color="auto" w:sz="4" w:space="0"/>
              <w:bottom w:val="single" w:color="auto" w:sz="4" w:space="0"/>
              <w:right w:val="single" w:color="auto" w:sz="4" w:space="0"/>
            </w:tcBorders>
            <w:vAlign w:val="center"/>
          </w:tcPr>
          <w:p w14:paraId="56EF791E">
            <w:pPr>
              <w:keepNext w:val="0"/>
              <w:keepLines w:val="0"/>
              <w:widowControl/>
              <w:suppressLineNumbers w:val="0"/>
              <w:jc w:val="lef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 xml:space="preserve">拓展功能：全自动生化分析仪具备为模块组合式，可根据医院检测需要随时增加模块来实现扩容备份。 </w:t>
            </w:r>
          </w:p>
        </w:tc>
        <w:tc>
          <w:tcPr>
            <w:tcW w:w="735" w:type="dxa"/>
            <w:tcBorders>
              <w:top w:val="single" w:color="auto" w:sz="4" w:space="0"/>
              <w:left w:val="single" w:color="auto" w:sz="4" w:space="0"/>
              <w:bottom w:val="single" w:color="auto" w:sz="4" w:space="0"/>
              <w:right w:val="single" w:color="auto" w:sz="4" w:space="0"/>
            </w:tcBorders>
            <w:vAlign w:val="top"/>
          </w:tcPr>
          <w:p w14:paraId="711F0AA2">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1A536280">
            <w:pPr>
              <w:spacing w:line="360" w:lineRule="auto"/>
              <w:rPr>
                <w:rFonts w:hint="eastAsia" w:ascii="宋体" w:hAnsi="宋体" w:eastAsia="宋体" w:cs="宋体"/>
                <w:sz w:val="24"/>
                <w:szCs w:val="24"/>
                <w:lang w:val="en-US" w:eastAsia="zh-CN"/>
              </w:rPr>
            </w:pPr>
          </w:p>
        </w:tc>
      </w:tr>
      <w:tr w14:paraId="433B4F28">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7E970EF5">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14</w:t>
            </w:r>
          </w:p>
        </w:tc>
        <w:tc>
          <w:tcPr>
            <w:tcW w:w="7185" w:type="dxa"/>
            <w:tcBorders>
              <w:top w:val="single" w:color="auto" w:sz="4" w:space="0"/>
              <w:left w:val="single" w:color="auto" w:sz="4" w:space="0"/>
              <w:bottom w:val="single" w:color="auto" w:sz="4" w:space="0"/>
              <w:right w:val="single" w:color="auto" w:sz="4" w:space="0"/>
            </w:tcBorders>
            <w:vAlign w:val="center"/>
          </w:tcPr>
          <w:p w14:paraId="57710901">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 xml:space="preserve">通讯系统标准配置：可单/双向通讯，可连接LIS；仪器操作系统支持各种LIS 及HIS，支持自动及手动双向通讯。 </w:t>
            </w:r>
          </w:p>
        </w:tc>
        <w:tc>
          <w:tcPr>
            <w:tcW w:w="735" w:type="dxa"/>
            <w:tcBorders>
              <w:top w:val="single" w:color="auto" w:sz="4" w:space="0"/>
              <w:left w:val="single" w:color="auto" w:sz="4" w:space="0"/>
              <w:bottom w:val="single" w:color="auto" w:sz="4" w:space="0"/>
              <w:right w:val="single" w:color="auto" w:sz="4" w:space="0"/>
            </w:tcBorders>
            <w:vAlign w:val="top"/>
          </w:tcPr>
          <w:p w14:paraId="4FD73A61">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2110975C">
            <w:pPr>
              <w:spacing w:line="360" w:lineRule="auto"/>
              <w:rPr>
                <w:rFonts w:hint="eastAsia" w:ascii="宋体" w:hAnsi="宋体" w:eastAsia="宋体" w:cs="宋体"/>
                <w:sz w:val="24"/>
                <w:szCs w:val="24"/>
                <w:lang w:val="en-US" w:eastAsia="zh-CN"/>
              </w:rPr>
            </w:pPr>
          </w:p>
        </w:tc>
      </w:tr>
      <w:tr w14:paraId="10F5BFF4">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496D111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15</w:t>
            </w:r>
          </w:p>
        </w:tc>
        <w:tc>
          <w:tcPr>
            <w:tcW w:w="7185" w:type="dxa"/>
            <w:tcBorders>
              <w:top w:val="single" w:color="auto" w:sz="4" w:space="0"/>
              <w:left w:val="single" w:color="auto" w:sz="4" w:space="0"/>
              <w:bottom w:val="single" w:color="auto" w:sz="4" w:space="0"/>
              <w:right w:val="single" w:color="auto" w:sz="4" w:space="0"/>
            </w:tcBorders>
            <w:vAlign w:val="center"/>
          </w:tcPr>
          <w:p w14:paraId="0FC54B91">
            <w:pPr>
              <w:keepNext w:val="0"/>
              <w:keepLines w:val="0"/>
              <w:widowControl/>
              <w:suppressLineNumbers w:val="0"/>
              <w:jc w:val="both"/>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 xml:space="preserve">设备所采用试剂为全国集采中选品种，非全国集采的试剂单人份价格与收费价格之比不超过15%。 </w:t>
            </w:r>
          </w:p>
        </w:tc>
        <w:tc>
          <w:tcPr>
            <w:tcW w:w="735" w:type="dxa"/>
            <w:tcBorders>
              <w:top w:val="single" w:color="auto" w:sz="4" w:space="0"/>
              <w:left w:val="single" w:color="auto" w:sz="4" w:space="0"/>
              <w:bottom w:val="single" w:color="auto" w:sz="4" w:space="0"/>
              <w:right w:val="single" w:color="auto" w:sz="4" w:space="0"/>
            </w:tcBorders>
            <w:vAlign w:val="top"/>
          </w:tcPr>
          <w:p w14:paraId="0012A493">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3113E3EB">
            <w:pPr>
              <w:spacing w:line="360" w:lineRule="auto"/>
              <w:rPr>
                <w:rFonts w:hint="eastAsia" w:ascii="宋体" w:hAnsi="宋体" w:eastAsia="宋体" w:cs="宋体"/>
                <w:sz w:val="24"/>
                <w:szCs w:val="24"/>
                <w:lang w:val="en-US" w:eastAsia="zh-CN"/>
              </w:rPr>
            </w:pPr>
          </w:p>
        </w:tc>
      </w:tr>
      <w:tr w14:paraId="49E71FF9">
        <w:tblPrEx>
          <w:tblCellMar>
            <w:top w:w="0" w:type="dxa"/>
            <w:left w:w="108" w:type="dxa"/>
            <w:bottom w:w="0" w:type="dxa"/>
            <w:right w:w="108" w:type="dxa"/>
          </w:tblCellMar>
        </w:tblPrEx>
        <w:trPr>
          <w:trHeight w:val="521" w:hRule="atLeast"/>
        </w:trPr>
        <w:tc>
          <w:tcPr>
            <w:tcW w:w="1140" w:type="dxa"/>
            <w:tcBorders>
              <w:top w:val="single" w:color="auto" w:sz="4" w:space="0"/>
              <w:left w:val="single" w:color="auto" w:sz="4" w:space="0"/>
              <w:bottom w:val="single" w:color="auto" w:sz="4" w:space="0"/>
              <w:right w:val="single" w:color="auto" w:sz="4" w:space="0"/>
            </w:tcBorders>
            <w:vAlign w:val="center"/>
          </w:tcPr>
          <w:p w14:paraId="3F5A1555">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kern w:val="0"/>
                <w:sz w:val="24"/>
                <w:szCs w:val="24"/>
                <w:lang w:val="en-US" w:eastAsia="zh-CN" w:bidi="ar"/>
              </w:rPr>
            </w:pPr>
            <w:r>
              <w:rPr>
                <w:rFonts w:hint="eastAsia" w:asciiTheme="minorEastAsia" w:hAnsiTheme="minorEastAsia" w:eastAsiaTheme="minorEastAsia" w:cstheme="minorEastAsia"/>
                <w:b w:val="0"/>
                <w:bCs w:val="0"/>
                <w:color w:val="000000"/>
                <w:kern w:val="0"/>
                <w:sz w:val="24"/>
                <w:szCs w:val="24"/>
                <w:lang w:val="en-US" w:eastAsia="zh-CN" w:bidi="ar"/>
              </w:rPr>
              <w:t>16</w:t>
            </w:r>
          </w:p>
        </w:tc>
        <w:tc>
          <w:tcPr>
            <w:tcW w:w="7185" w:type="dxa"/>
            <w:tcBorders>
              <w:top w:val="single" w:color="auto" w:sz="4" w:space="0"/>
              <w:left w:val="single" w:color="auto" w:sz="4" w:space="0"/>
              <w:bottom w:val="single" w:color="auto" w:sz="4" w:space="0"/>
              <w:right w:val="single" w:color="auto" w:sz="4" w:space="0"/>
            </w:tcBorders>
            <w:vAlign w:val="center"/>
          </w:tcPr>
          <w:p w14:paraId="7733C841">
            <w:pPr>
              <w:keepNext w:val="0"/>
              <w:keepLines w:val="0"/>
              <w:widowControl/>
              <w:suppressLineNumbers w:val="0"/>
              <w:jc w:val="left"/>
              <w:textAlignment w:val="center"/>
              <w:rPr>
                <w:rFonts w:hint="default" w:ascii="宋体" w:hAnsi="宋体" w:eastAsia="宋体" w:cs="宋体"/>
                <w:sz w:val="24"/>
                <w:szCs w:val="24"/>
                <w:lang w:val="en-US" w:eastAsia="zh-CN"/>
              </w:rPr>
            </w:pPr>
            <w:r>
              <w:rPr>
                <w:rFonts w:hint="eastAsia" w:ascii="宋体" w:hAnsi="宋体" w:eastAsia="宋体" w:cs="宋体"/>
                <w:i w:val="0"/>
                <w:iCs w:val="0"/>
                <w:color w:val="000000"/>
                <w:kern w:val="0"/>
                <w:sz w:val="24"/>
                <w:szCs w:val="24"/>
                <w:u w:val="none"/>
                <w:lang w:val="en-US" w:eastAsia="zh-CN" w:bidi="ar"/>
              </w:rPr>
              <w:t>满足以上技术要求，设备价格相同时，以第10条“测定波长“≥16个，并具有PDR光测技术平台者优先。提供产品彩页或说明书并加盖制造商公章给予佐证。</w:t>
            </w:r>
          </w:p>
        </w:tc>
        <w:tc>
          <w:tcPr>
            <w:tcW w:w="735" w:type="dxa"/>
            <w:tcBorders>
              <w:top w:val="single" w:color="auto" w:sz="4" w:space="0"/>
              <w:left w:val="single" w:color="auto" w:sz="4" w:space="0"/>
              <w:bottom w:val="single" w:color="auto" w:sz="4" w:space="0"/>
              <w:right w:val="single" w:color="auto" w:sz="4" w:space="0"/>
            </w:tcBorders>
            <w:vAlign w:val="top"/>
          </w:tcPr>
          <w:p w14:paraId="11D3CFE6">
            <w:pPr>
              <w:spacing w:line="360" w:lineRule="auto"/>
              <w:rPr>
                <w:rFonts w:hint="eastAsia" w:ascii="宋体" w:hAnsi="宋体" w:eastAsia="宋体" w:cs="宋体"/>
                <w:sz w:val="24"/>
                <w:szCs w:val="24"/>
                <w:lang w:val="en-US" w:eastAsia="zh-CN"/>
              </w:rPr>
            </w:pPr>
          </w:p>
        </w:tc>
        <w:tc>
          <w:tcPr>
            <w:tcW w:w="808" w:type="dxa"/>
            <w:tcBorders>
              <w:top w:val="single" w:color="auto" w:sz="4" w:space="0"/>
              <w:left w:val="single" w:color="auto" w:sz="4" w:space="0"/>
              <w:bottom w:val="single" w:color="auto" w:sz="4" w:space="0"/>
              <w:right w:val="single" w:color="auto" w:sz="4" w:space="0"/>
            </w:tcBorders>
            <w:vAlign w:val="top"/>
          </w:tcPr>
          <w:p w14:paraId="74526DA0">
            <w:pPr>
              <w:spacing w:line="360" w:lineRule="auto"/>
              <w:rPr>
                <w:rFonts w:hint="eastAsia" w:ascii="宋体" w:hAnsi="宋体" w:eastAsia="宋体" w:cs="宋体"/>
                <w:sz w:val="24"/>
                <w:szCs w:val="24"/>
                <w:lang w:val="en-US" w:eastAsia="zh-CN"/>
              </w:rPr>
            </w:pPr>
          </w:p>
        </w:tc>
      </w:tr>
      <w:bookmarkEnd w:id="0"/>
      <w:tr w14:paraId="03E73154">
        <w:tblPrEx>
          <w:tblCellMar>
            <w:top w:w="0" w:type="dxa"/>
            <w:left w:w="108" w:type="dxa"/>
            <w:bottom w:w="0" w:type="dxa"/>
            <w:right w:w="108" w:type="dxa"/>
          </w:tblCellMar>
        </w:tblPrEx>
        <w:trPr>
          <w:trHeight w:val="403" w:hRule="atLeast"/>
        </w:trPr>
        <w:tc>
          <w:tcPr>
            <w:tcW w:w="9868" w:type="dxa"/>
            <w:gridSpan w:val="4"/>
            <w:tcBorders>
              <w:top w:val="single" w:color="auto" w:sz="4" w:space="0"/>
              <w:left w:val="single" w:color="auto" w:sz="4" w:space="0"/>
              <w:bottom w:val="single" w:color="auto" w:sz="4" w:space="0"/>
              <w:right w:val="single" w:color="auto" w:sz="4" w:space="0"/>
            </w:tcBorders>
            <w:vAlign w:val="center"/>
          </w:tcPr>
          <w:p w14:paraId="799CCBA5">
            <w:pPr>
              <w:ind w:firstLine="3654" w:firstLineChars="1300"/>
              <w:rPr>
                <w:rFonts w:hint="default" w:ascii="宋体" w:hAnsi="宋体" w:eastAsia="宋体" w:cs="Arial"/>
                <w:color w:val="FF0000"/>
                <w:kern w:val="2"/>
                <w:sz w:val="22"/>
                <w:szCs w:val="22"/>
                <w:lang w:val="en-US" w:eastAsia="zh-CN" w:bidi="ar-SA"/>
              </w:rPr>
            </w:pPr>
            <w:r>
              <w:rPr>
                <w:rFonts w:hint="eastAsia" w:ascii="宋体" w:hAnsi="宋体" w:cs="Arial"/>
                <w:b/>
                <w:bCs/>
                <w:color w:val="000000" w:themeColor="text1"/>
                <w:kern w:val="2"/>
                <w:sz w:val="28"/>
                <w:szCs w:val="28"/>
                <w:lang w:val="en-US" w:eastAsia="zh-CN" w:bidi="ar-SA"/>
                <w14:textFill>
                  <w14:solidFill>
                    <w14:schemeClr w14:val="tx1"/>
                  </w14:solidFill>
                </w14:textFill>
              </w:rPr>
              <w:t>商务要求</w:t>
            </w:r>
          </w:p>
        </w:tc>
      </w:tr>
      <w:tr w14:paraId="279B0BF4">
        <w:tblPrEx>
          <w:tblCellMar>
            <w:top w:w="0" w:type="dxa"/>
            <w:left w:w="108" w:type="dxa"/>
            <w:bottom w:w="0" w:type="dxa"/>
            <w:right w:w="108" w:type="dxa"/>
          </w:tblCellMar>
        </w:tblPrEx>
        <w:trPr>
          <w:trHeight w:val="458" w:hRule="atLeast"/>
        </w:trPr>
        <w:tc>
          <w:tcPr>
            <w:tcW w:w="1140" w:type="dxa"/>
            <w:tcBorders>
              <w:top w:val="single" w:color="auto" w:sz="4" w:space="0"/>
              <w:left w:val="single" w:color="auto" w:sz="4" w:space="0"/>
              <w:bottom w:val="single" w:color="auto" w:sz="4" w:space="0"/>
              <w:right w:val="single" w:color="auto" w:sz="4" w:space="0"/>
            </w:tcBorders>
            <w:vAlign w:val="center"/>
          </w:tcPr>
          <w:p w14:paraId="20BA268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p>
        </w:tc>
        <w:tc>
          <w:tcPr>
            <w:tcW w:w="7185" w:type="dxa"/>
            <w:tcBorders>
              <w:top w:val="single" w:color="auto" w:sz="4" w:space="0"/>
              <w:left w:val="single" w:color="auto" w:sz="4" w:space="0"/>
              <w:bottom w:val="single" w:color="auto" w:sz="4" w:space="0"/>
              <w:right w:val="single" w:color="auto" w:sz="4" w:space="0"/>
            </w:tcBorders>
            <w:vAlign w:val="center"/>
          </w:tcPr>
          <w:p w14:paraId="2869D705">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both"/>
              <w:rPr>
                <w:rFonts w:hint="default" w:ascii="宋体" w:hAnsi="宋体" w:eastAsia="宋体" w:cs="宋体"/>
                <w:sz w:val="24"/>
                <w:szCs w:val="24"/>
                <w:lang w:val="en-US" w:eastAsia="zh-CN"/>
              </w:rPr>
            </w:pPr>
          </w:p>
        </w:tc>
        <w:tc>
          <w:tcPr>
            <w:tcW w:w="735" w:type="dxa"/>
            <w:tcBorders>
              <w:top w:val="single" w:color="auto" w:sz="4" w:space="0"/>
              <w:left w:val="single" w:color="auto" w:sz="4" w:space="0"/>
              <w:bottom w:val="single" w:color="auto" w:sz="4" w:space="0"/>
              <w:right w:val="single" w:color="auto" w:sz="4" w:space="0"/>
            </w:tcBorders>
            <w:vAlign w:val="center"/>
          </w:tcPr>
          <w:p w14:paraId="053EB8A5">
            <w:pPr>
              <w:widowControl/>
              <w:spacing w:line="300" w:lineRule="exact"/>
              <w:jc w:val="left"/>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响应</w:t>
            </w:r>
          </w:p>
        </w:tc>
        <w:tc>
          <w:tcPr>
            <w:tcW w:w="808" w:type="dxa"/>
            <w:tcBorders>
              <w:top w:val="single" w:color="auto" w:sz="4" w:space="0"/>
              <w:left w:val="single" w:color="auto" w:sz="4" w:space="0"/>
              <w:bottom w:val="single" w:color="auto" w:sz="4" w:space="0"/>
              <w:right w:val="single" w:color="auto" w:sz="4" w:space="0"/>
            </w:tcBorders>
            <w:vAlign w:val="center"/>
          </w:tcPr>
          <w:p w14:paraId="2EB2643C">
            <w:pPr>
              <w:widowControl/>
              <w:spacing w:line="300" w:lineRule="exact"/>
              <w:jc w:val="left"/>
              <w:textAlignment w:val="center"/>
              <w:rPr>
                <w:rFonts w:hint="eastAsia" w:ascii="宋体" w:hAnsi="宋体" w:eastAsia="宋体" w:cs="Arial"/>
                <w:color w:val="FF0000"/>
                <w:kern w:val="2"/>
                <w:sz w:val="22"/>
                <w:szCs w:val="22"/>
                <w:lang w:val="en-US" w:eastAsia="zh-CN" w:bidi="ar-SA"/>
              </w:rPr>
            </w:pPr>
            <w:r>
              <w:rPr>
                <w:rFonts w:hint="eastAsia" w:ascii="宋体" w:hAnsi="宋体" w:cs="宋体"/>
                <w:b/>
                <w:bCs/>
                <w:color w:val="000000" w:themeColor="text1"/>
                <w:kern w:val="0"/>
                <w:sz w:val="24"/>
                <w:szCs w:val="24"/>
                <w:lang w:bidi="ar"/>
                <w14:textFill>
                  <w14:solidFill>
                    <w14:schemeClr w14:val="tx1"/>
                  </w14:solidFill>
                </w14:textFill>
              </w:rPr>
              <w:t>偏离</w:t>
            </w:r>
          </w:p>
        </w:tc>
      </w:tr>
      <w:tr w14:paraId="068CC31C">
        <w:tblPrEx>
          <w:tblCellMar>
            <w:top w:w="0" w:type="dxa"/>
            <w:left w:w="108" w:type="dxa"/>
            <w:bottom w:w="0" w:type="dxa"/>
            <w:right w:w="108" w:type="dxa"/>
          </w:tblCellMar>
        </w:tblPrEx>
        <w:trPr>
          <w:trHeight w:val="563" w:hRule="atLeast"/>
        </w:trPr>
        <w:tc>
          <w:tcPr>
            <w:tcW w:w="1140" w:type="dxa"/>
            <w:tcBorders>
              <w:top w:val="single" w:color="auto" w:sz="4" w:space="0"/>
              <w:left w:val="single" w:color="auto" w:sz="4" w:space="0"/>
              <w:bottom w:val="single" w:color="auto" w:sz="4" w:space="0"/>
              <w:right w:val="single" w:color="auto" w:sz="4" w:space="0"/>
            </w:tcBorders>
            <w:vAlign w:val="center"/>
          </w:tcPr>
          <w:p w14:paraId="6DA67BDD">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1</w:t>
            </w:r>
          </w:p>
        </w:tc>
        <w:tc>
          <w:tcPr>
            <w:tcW w:w="7185" w:type="dxa"/>
            <w:tcBorders>
              <w:top w:val="single" w:color="auto" w:sz="4" w:space="0"/>
              <w:left w:val="single" w:color="auto" w:sz="4" w:space="0"/>
              <w:bottom w:val="single" w:color="auto" w:sz="4" w:space="0"/>
              <w:right w:val="single" w:color="auto" w:sz="4" w:space="0"/>
            </w:tcBorders>
            <w:vAlign w:val="center"/>
          </w:tcPr>
          <w:p w14:paraId="5A4CC0B6">
            <w:pPr>
              <w:spacing w:line="360" w:lineRule="auto"/>
              <w:rPr>
                <w:sz w:val="24"/>
                <w:szCs w:val="24"/>
              </w:rPr>
            </w:pPr>
            <w:r>
              <w:rPr>
                <w:rFonts w:hint="eastAsia" w:asciiTheme="minorEastAsia" w:hAnsiTheme="minorEastAsia" w:eastAsiaTheme="minorEastAsia" w:cstheme="minorEastAsia"/>
                <w:b w:val="0"/>
                <w:bCs w:val="0"/>
                <w:i w:val="0"/>
                <w:iCs/>
                <w:sz w:val="24"/>
                <w:szCs w:val="24"/>
                <w:u w:val="none"/>
                <w:lang w:val="en-US" w:eastAsia="zh-CN"/>
              </w:rPr>
              <w:t>自验收合格之日起，设备使用期间提供原厂维修保养服务，由此产生相关费用均包含在本项目报价内，并提供该设备所需质控品和校准品。由此产生的所有费用由中选供应商承担。</w:t>
            </w:r>
          </w:p>
        </w:tc>
        <w:tc>
          <w:tcPr>
            <w:tcW w:w="735" w:type="dxa"/>
            <w:tcBorders>
              <w:top w:val="single" w:color="auto" w:sz="4" w:space="0"/>
              <w:left w:val="single" w:color="auto" w:sz="4" w:space="0"/>
              <w:bottom w:val="single" w:color="auto" w:sz="4" w:space="0"/>
              <w:right w:val="single" w:color="auto" w:sz="4" w:space="0"/>
            </w:tcBorders>
            <w:vAlign w:val="top"/>
          </w:tcPr>
          <w:p w14:paraId="4B34BCFD">
            <w:pPr>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5D1C386D">
            <w:pPr>
              <w:rPr>
                <w:rFonts w:hint="eastAsia" w:ascii="宋体" w:hAnsi="宋体" w:eastAsia="宋体" w:cs="Arial"/>
                <w:color w:val="FF0000"/>
                <w:kern w:val="2"/>
                <w:sz w:val="22"/>
                <w:szCs w:val="22"/>
                <w:lang w:val="en-US" w:eastAsia="zh-CN" w:bidi="ar-SA"/>
              </w:rPr>
            </w:pPr>
          </w:p>
        </w:tc>
      </w:tr>
      <w:tr w14:paraId="64D65E64">
        <w:tblPrEx>
          <w:tblCellMar>
            <w:top w:w="0" w:type="dxa"/>
            <w:left w:w="108" w:type="dxa"/>
            <w:bottom w:w="0" w:type="dxa"/>
            <w:right w:w="108" w:type="dxa"/>
          </w:tblCellMar>
        </w:tblPrEx>
        <w:trPr>
          <w:trHeight w:val="973" w:hRule="atLeast"/>
        </w:trPr>
        <w:tc>
          <w:tcPr>
            <w:tcW w:w="1140" w:type="dxa"/>
            <w:tcBorders>
              <w:top w:val="single" w:color="auto" w:sz="4" w:space="0"/>
              <w:left w:val="single" w:color="auto" w:sz="4" w:space="0"/>
              <w:bottom w:val="single" w:color="auto" w:sz="4" w:space="0"/>
              <w:right w:val="single" w:color="auto" w:sz="4" w:space="0"/>
            </w:tcBorders>
            <w:vAlign w:val="center"/>
          </w:tcPr>
          <w:p w14:paraId="0E03DC7A">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2</w:t>
            </w:r>
          </w:p>
        </w:tc>
        <w:tc>
          <w:tcPr>
            <w:tcW w:w="7185" w:type="dxa"/>
            <w:tcBorders>
              <w:top w:val="single" w:color="auto" w:sz="4" w:space="0"/>
              <w:left w:val="single" w:color="auto" w:sz="4" w:space="0"/>
              <w:bottom w:val="single" w:color="auto" w:sz="4" w:space="0"/>
              <w:right w:val="single" w:color="auto" w:sz="4" w:space="0"/>
            </w:tcBorders>
            <w:vAlign w:val="center"/>
          </w:tcPr>
          <w:p w14:paraId="0E43EA54">
            <w:pPr>
              <w:spacing w:line="360" w:lineRule="auto"/>
              <w:rPr>
                <w:sz w:val="24"/>
                <w:szCs w:val="24"/>
              </w:rPr>
            </w:pPr>
            <w:r>
              <w:rPr>
                <w:rFonts w:hint="eastAsia" w:ascii="宋体" w:hAnsi="宋体" w:eastAsia="宋体" w:cs="宋体"/>
                <w:sz w:val="24"/>
                <w:szCs w:val="24"/>
                <w:lang w:val="en-US" w:eastAsia="zh-CN"/>
              </w:rPr>
              <w:t>所有设备必须在签订合同后30日内交货并安装调试完毕；如因采购人场地原因无法执行的，应在接到采购人通知后30日内完成交付</w:t>
            </w:r>
            <w:r>
              <w:rPr>
                <w:rFonts w:hint="eastAsia" w:ascii="宋体" w:hAnsi="宋体" w:cs="宋体"/>
                <w:sz w:val="24"/>
                <w:szCs w:val="24"/>
                <w:lang w:val="en-US" w:eastAsia="zh-CN"/>
              </w:rPr>
              <w:t>。</w:t>
            </w:r>
          </w:p>
        </w:tc>
        <w:tc>
          <w:tcPr>
            <w:tcW w:w="735" w:type="dxa"/>
            <w:tcBorders>
              <w:top w:val="single" w:color="auto" w:sz="4" w:space="0"/>
              <w:left w:val="single" w:color="auto" w:sz="4" w:space="0"/>
              <w:bottom w:val="single" w:color="auto" w:sz="4" w:space="0"/>
              <w:right w:val="single" w:color="auto" w:sz="4" w:space="0"/>
            </w:tcBorders>
            <w:vAlign w:val="top"/>
          </w:tcPr>
          <w:p w14:paraId="46F3189F">
            <w:pPr>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75173403">
            <w:pPr>
              <w:rPr>
                <w:rFonts w:hint="eastAsia" w:ascii="宋体" w:hAnsi="宋体" w:eastAsia="宋体" w:cs="Arial"/>
                <w:color w:val="FF0000"/>
                <w:kern w:val="2"/>
                <w:sz w:val="22"/>
                <w:szCs w:val="22"/>
                <w:lang w:val="en-US" w:eastAsia="zh-CN" w:bidi="ar-SA"/>
              </w:rPr>
            </w:pPr>
          </w:p>
        </w:tc>
      </w:tr>
      <w:tr w14:paraId="796D2A60">
        <w:tblPrEx>
          <w:tblCellMar>
            <w:top w:w="0" w:type="dxa"/>
            <w:left w:w="108" w:type="dxa"/>
            <w:bottom w:w="0" w:type="dxa"/>
            <w:right w:w="108" w:type="dxa"/>
          </w:tblCellMar>
        </w:tblPrEx>
        <w:trPr>
          <w:trHeight w:val="1218" w:hRule="atLeast"/>
        </w:trPr>
        <w:tc>
          <w:tcPr>
            <w:tcW w:w="1140" w:type="dxa"/>
            <w:tcBorders>
              <w:top w:val="single" w:color="auto" w:sz="4" w:space="0"/>
              <w:left w:val="single" w:color="auto" w:sz="4" w:space="0"/>
              <w:bottom w:val="single" w:color="auto" w:sz="4" w:space="0"/>
              <w:right w:val="single" w:color="auto" w:sz="4" w:space="0"/>
            </w:tcBorders>
            <w:vAlign w:val="center"/>
          </w:tcPr>
          <w:p w14:paraId="06DFFE13">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default"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3</w:t>
            </w:r>
          </w:p>
        </w:tc>
        <w:tc>
          <w:tcPr>
            <w:tcW w:w="7185" w:type="dxa"/>
            <w:tcBorders>
              <w:top w:val="single" w:color="auto" w:sz="4" w:space="0"/>
              <w:left w:val="single" w:color="auto" w:sz="4" w:space="0"/>
              <w:bottom w:val="single" w:color="auto" w:sz="4" w:space="0"/>
              <w:right w:val="single" w:color="auto" w:sz="4" w:space="0"/>
            </w:tcBorders>
            <w:vAlign w:val="center"/>
          </w:tcPr>
          <w:p w14:paraId="169AEEFB">
            <w:pPr>
              <w:spacing w:line="360" w:lineRule="auto"/>
              <w:rPr>
                <w:sz w:val="24"/>
                <w:szCs w:val="24"/>
              </w:rPr>
            </w:pPr>
            <w:r>
              <w:rPr>
                <w:rFonts w:hint="eastAsia" w:ascii="宋体" w:hAnsi="宋体" w:eastAsia="宋体" w:cs="宋体"/>
                <w:sz w:val="24"/>
                <w:szCs w:val="24"/>
                <w:lang w:val="en-US" w:eastAsia="zh-CN"/>
              </w:rPr>
              <w:t>付款方式：合同签订时中选供应商向采购人支付合同总价的5%作为履约保证金。设备安装、调试、验收合格后，采购人向已提供全额增值税普通发票的中选供应商支付合同总款；合同约定服务期满后无未解决的质量问题，采购人将向中选供应商无息退还原履约保证金。</w:t>
            </w:r>
          </w:p>
        </w:tc>
        <w:tc>
          <w:tcPr>
            <w:tcW w:w="735" w:type="dxa"/>
            <w:tcBorders>
              <w:top w:val="single" w:color="auto" w:sz="4" w:space="0"/>
              <w:left w:val="single" w:color="auto" w:sz="4" w:space="0"/>
              <w:bottom w:val="single" w:color="auto" w:sz="4" w:space="0"/>
              <w:right w:val="single" w:color="auto" w:sz="4" w:space="0"/>
            </w:tcBorders>
            <w:vAlign w:val="top"/>
          </w:tcPr>
          <w:p w14:paraId="63C8604E">
            <w:pPr>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7E9E8333">
            <w:pPr>
              <w:rPr>
                <w:rFonts w:hint="eastAsia" w:ascii="宋体" w:hAnsi="宋体" w:eastAsia="宋体" w:cs="Arial"/>
                <w:color w:val="FF0000"/>
                <w:kern w:val="2"/>
                <w:sz w:val="22"/>
                <w:szCs w:val="22"/>
                <w:lang w:val="en-US" w:eastAsia="zh-CN" w:bidi="ar-SA"/>
              </w:rPr>
            </w:pPr>
          </w:p>
        </w:tc>
      </w:tr>
      <w:tr w14:paraId="6080C4FC">
        <w:tblPrEx>
          <w:tblCellMar>
            <w:top w:w="0" w:type="dxa"/>
            <w:left w:w="108" w:type="dxa"/>
            <w:bottom w:w="0" w:type="dxa"/>
            <w:right w:w="108" w:type="dxa"/>
          </w:tblCellMar>
        </w:tblPrEx>
        <w:trPr>
          <w:trHeight w:val="1218" w:hRule="atLeast"/>
        </w:trPr>
        <w:tc>
          <w:tcPr>
            <w:tcW w:w="1140" w:type="dxa"/>
            <w:tcBorders>
              <w:top w:val="single" w:color="auto" w:sz="4" w:space="0"/>
              <w:left w:val="single" w:color="auto" w:sz="4" w:space="0"/>
              <w:bottom w:val="single" w:color="auto" w:sz="4" w:space="0"/>
              <w:right w:val="single" w:color="auto" w:sz="4" w:space="0"/>
            </w:tcBorders>
            <w:vAlign w:val="center"/>
          </w:tcPr>
          <w:p w14:paraId="3EC6ED05">
            <w:pPr>
              <w:keepNext w:val="0"/>
              <w:keepLines w:val="0"/>
              <w:pageBreakBefore w:val="0"/>
              <w:widowControl w:val="0"/>
              <w:numPr>
                <w:ilvl w:val="0"/>
                <w:numId w:val="0"/>
              </w:numPr>
              <w:tabs>
                <w:tab w:val="left" w:pos="540"/>
                <w:tab w:val="left" w:pos="709"/>
              </w:tabs>
              <w:kinsoku/>
              <w:wordWrap/>
              <w:overflowPunct/>
              <w:topLinePunct w:val="0"/>
              <w:autoSpaceDE/>
              <w:autoSpaceDN/>
              <w:bidi w:val="0"/>
              <w:adjustRightInd/>
              <w:snapToGrid/>
              <w:spacing w:line="440" w:lineRule="exact"/>
              <w:ind w:left="0" w:leftChars="0" w:firstLine="0" w:firstLineChars="0"/>
              <w:jc w:val="cente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pPr>
            <w:r>
              <w:rPr>
                <w:rFonts w:hint="eastAsia" w:asciiTheme="minorEastAsia" w:hAnsiTheme="minorEastAsia" w:eastAsiaTheme="minorEastAsia" w:cstheme="minorEastAsia"/>
                <w:b w:val="0"/>
                <w:bCs w:val="0"/>
                <w:color w:val="000000" w:themeColor="text1"/>
                <w:kern w:val="0"/>
                <w:sz w:val="24"/>
                <w:szCs w:val="24"/>
                <w:lang w:val="en-US" w:eastAsia="zh-CN" w:bidi="ar"/>
                <w14:textFill>
                  <w14:solidFill>
                    <w14:schemeClr w14:val="tx1"/>
                  </w14:solidFill>
                </w14:textFill>
              </w:rPr>
              <w:t>4</w:t>
            </w:r>
          </w:p>
        </w:tc>
        <w:tc>
          <w:tcPr>
            <w:tcW w:w="7185" w:type="dxa"/>
            <w:tcBorders>
              <w:top w:val="single" w:color="auto" w:sz="4" w:space="0"/>
              <w:left w:val="single" w:color="auto" w:sz="4" w:space="0"/>
              <w:bottom w:val="single" w:color="auto" w:sz="4" w:space="0"/>
              <w:right w:val="single" w:color="auto" w:sz="4" w:space="0"/>
            </w:tcBorders>
            <w:vAlign w:val="center"/>
          </w:tcPr>
          <w:p w14:paraId="60D4085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如有耗材，供应商须在响应文件中承诺设备成交后的配套耗材同品牌同型号规格销售价格为产品全省最低价，耗材实际采购价格以耗材采购结果为准，未承诺视为无效响应。</w:t>
            </w:r>
          </w:p>
        </w:tc>
        <w:tc>
          <w:tcPr>
            <w:tcW w:w="735" w:type="dxa"/>
            <w:tcBorders>
              <w:top w:val="single" w:color="auto" w:sz="4" w:space="0"/>
              <w:left w:val="single" w:color="auto" w:sz="4" w:space="0"/>
              <w:bottom w:val="single" w:color="auto" w:sz="4" w:space="0"/>
              <w:right w:val="single" w:color="auto" w:sz="4" w:space="0"/>
            </w:tcBorders>
            <w:vAlign w:val="top"/>
          </w:tcPr>
          <w:p w14:paraId="30E8CFE5">
            <w:pPr>
              <w:rPr>
                <w:rFonts w:hint="eastAsia" w:ascii="宋体" w:hAnsi="宋体" w:eastAsia="宋体" w:cs="Arial"/>
                <w:color w:val="FF0000"/>
                <w:kern w:val="2"/>
                <w:sz w:val="22"/>
                <w:szCs w:val="22"/>
                <w:lang w:val="en-US" w:eastAsia="zh-CN" w:bidi="ar-SA"/>
              </w:rPr>
            </w:pPr>
          </w:p>
        </w:tc>
        <w:tc>
          <w:tcPr>
            <w:tcW w:w="808" w:type="dxa"/>
            <w:tcBorders>
              <w:top w:val="single" w:color="auto" w:sz="4" w:space="0"/>
              <w:left w:val="single" w:color="auto" w:sz="4" w:space="0"/>
              <w:bottom w:val="single" w:color="auto" w:sz="4" w:space="0"/>
              <w:right w:val="single" w:color="auto" w:sz="4" w:space="0"/>
            </w:tcBorders>
            <w:vAlign w:val="top"/>
          </w:tcPr>
          <w:p w14:paraId="499594C3">
            <w:pPr>
              <w:rPr>
                <w:rFonts w:hint="eastAsia" w:ascii="宋体" w:hAnsi="宋体" w:eastAsia="宋体" w:cs="Arial"/>
                <w:color w:val="FF0000"/>
                <w:kern w:val="2"/>
                <w:sz w:val="22"/>
                <w:szCs w:val="22"/>
                <w:lang w:val="en-US" w:eastAsia="zh-CN" w:bidi="ar-SA"/>
              </w:rPr>
            </w:pPr>
          </w:p>
        </w:tc>
      </w:tr>
    </w:tbl>
    <w:p w14:paraId="099B8845">
      <w:pPr>
        <w:tabs>
          <w:tab w:val="left" w:pos="1888"/>
        </w:tabs>
        <w:rPr>
          <w:rFonts w:hint="eastAsia" w:eastAsia="宋体"/>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4YjI1NzI0MTcwYTc4ZjM2NmEzYjFmNTI3YzU2YjUifQ=="/>
  </w:docVars>
  <w:rsids>
    <w:rsidRoot w:val="00000000"/>
    <w:rsid w:val="0067683C"/>
    <w:rsid w:val="008D4EE8"/>
    <w:rsid w:val="00A367D9"/>
    <w:rsid w:val="00C95FFC"/>
    <w:rsid w:val="017E2A82"/>
    <w:rsid w:val="02E5725D"/>
    <w:rsid w:val="02E96621"/>
    <w:rsid w:val="02F456F2"/>
    <w:rsid w:val="03247659"/>
    <w:rsid w:val="034B2E38"/>
    <w:rsid w:val="03EC461B"/>
    <w:rsid w:val="045F4DED"/>
    <w:rsid w:val="04E57906"/>
    <w:rsid w:val="051978D3"/>
    <w:rsid w:val="054B3B83"/>
    <w:rsid w:val="055511AF"/>
    <w:rsid w:val="05551D4C"/>
    <w:rsid w:val="05CF5FA2"/>
    <w:rsid w:val="06977677"/>
    <w:rsid w:val="0854278F"/>
    <w:rsid w:val="08BF5E5A"/>
    <w:rsid w:val="08CB2A51"/>
    <w:rsid w:val="09775278"/>
    <w:rsid w:val="09CD45A7"/>
    <w:rsid w:val="0A124BEF"/>
    <w:rsid w:val="0A193C90"/>
    <w:rsid w:val="0A521D05"/>
    <w:rsid w:val="0AE24915"/>
    <w:rsid w:val="0B464F3D"/>
    <w:rsid w:val="0B8425B2"/>
    <w:rsid w:val="0BAE560B"/>
    <w:rsid w:val="0BD72EEC"/>
    <w:rsid w:val="0C1D4B5C"/>
    <w:rsid w:val="0C8C63CD"/>
    <w:rsid w:val="0D2564A8"/>
    <w:rsid w:val="0DC21730"/>
    <w:rsid w:val="0E9E6512"/>
    <w:rsid w:val="0ED62150"/>
    <w:rsid w:val="0EEA5164"/>
    <w:rsid w:val="103E1D5B"/>
    <w:rsid w:val="10493E92"/>
    <w:rsid w:val="10722F10"/>
    <w:rsid w:val="10802373"/>
    <w:rsid w:val="10D4446D"/>
    <w:rsid w:val="1103064A"/>
    <w:rsid w:val="115F467E"/>
    <w:rsid w:val="11833451"/>
    <w:rsid w:val="12661A3D"/>
    <w:rsid w:val="1376180B"/>
    <w:rsid w:val="139265EA"/>
    <w:rsid w:val="147F6DE6"/>
    <w:rsid w:val="14BD1E65"/>
    <w:rsid w:val="154704CF"/>
    <w:rsid w:val="15FA2BC8"/>
    <w:rsid w:val="15FB06EE"/>
    <w:rsid w:val="16595795"/>
    <w:rsid w:val="16844909"/>
    <w:rsid w:val="16E86EC4"/>
    <w:rsid w:val="176522C3"/>
    <w:rsid w:val="17D20492"/>
    <w:rsid w:val="181304AC"/>
    <w:rsid w:val="18526AF9"/>
    <w:rsid w:val="18C005CB"/>
    <w:rsid w:val="191E4E1F"/>
    <w:rsid w:val="19341F4D"/>
    <w:rsid w:val="19622F5E"/>
    <w:rsid w:val="19714617"/>
    <w:rsid w:val="19B611B0"/>
    <w:rsid w:val="19C37774"/>
    <w:rsid w:val="1A7F5449"/>
    <w:rsid w:val="1A9469A8"/>
    <w:rsid w:val="1B411EAF"/>
    <w:rsid w:val="1BBD7E75"/>
    <w:rsid w:val="1BC81072"/>
    <w:rsid w:val="1BE475EF"/>
    <w:rsid w:val="1C791D5C"/>
    <w:rsid w:val="1CAB4F39"/>
    <w:rsid w:val="1CEB326A"/>
    <w:rsid w:val="1D33076D"/>
    <w:rsid w:val="1D571AAC"/>
    <w:rsid w:val="1D7858E7"/>
    <w:rsid w:val="1D8E3BF5"/>
    <w:rsid w:val="1E0000FE"/>
    <w:rsid w:val="1E592455"/>
    <w:rsid w:val="1F150595"/>
    <w:rsid w:val="1F493E95"/>
    <w:rsid w:val="1F522558"/>
    <w:rsid w:val="1FB11293"/>
    <w:rsid w:val="1FEB1241"/>
    <w:rsid w:val="1FFC753C"/>
    <w:rsid w:val="204A4749"/>
    <w:rsid w:val="20B63B8F"/>
    <w:rsid w:val="21701DBE"/>
    <w:rsid w:val="21FB3F4F"/>
    <w:rsid w:val="225B2C40"/>
    <w:rsid w:val="22FD5AA5"/>
    <w:rsid w:val="239C6211"/>
    <w:rsid w:val="24233AFC"/>
    <w:rsid w:val="2423778D"/>
    <w:rsid w:val="2441528D"/>
    <w:rsid w:val="24457704"/>
    <w:rsid w:val="245D7ECB"/>
    <w:rsid w:val="24845B58"/>
    <w:rsid w:val="24AE3CD0"/>
    <w:rsid w:val="24B457FE"/>
    <w:rsid w:val="257C53A7"/>
    <w:rsid w:val="26FC7198"/>
    <w:rsid w:val="27027078"/>
    <w:rsid w:val="27A61C68"/>
    <w:rsid w:val="27B23474"/>
    <w:rsid w:val="28A80261"/>
    <w:rsid w:val="28B5472C"/>
    <w:rsid w:val="28BA314C"/>
    <w:rsid w:val="28C037FD"/>
    <w:rsid w:val="298E37F4"/>
    <w:rsid w:val="29BF1D06"/>
    <w:rsid w:val="29F51284"/>
    <w:rsid w:val="29F545C8"/>
    <w:rsid w:val="2A202CF7"/>
    <w:rsid w:val="2A4923A0"/>
    <w:rsid w:val="2A7E3970"/>
    <w:rsid w:val="2A9860B3"/>
    <w:rsid w:val="2AD510B6"/>
    <w:rsid w:val="2ADA66CC"/>
    <w:rsid w:val="2B2B758D"/>
    <w:rsid w:val="2B6A3EF4"/>
    <w:rsid w:val="2B9900D7"/>
    <w:rsid w:val="2BE9306B"/>
    <w:rsid w:val="2BFE1801"/>
    <w:rsid w:val="2C05139D"/>
    <w:rsid w:val="2C066745"/>
    <w:rsid w:val="2C0A4D8F"/>
    <w:rsid w:val="2CAA34A4"/>
    <w:rsid w:val="2CC94C4A"/>
    <w:rsid w:val="2D0D3A32"/>
    <w:rsid w:val="2D1C121E"/>
    <w:rsid w:val="2D6A01DB"/>
    <w:rsid w:val="2D880661"/>
    <w:rsid w:val="2D9C47AE"/>
    <w:rsid w:val="2DF00E48"/>
    <w:rsid w:val="2E026666"/>
    <w:rsid w:val="2E114AFB"/>
    <w:rsid w:val="2E4F651B"/>
    <w:rsid w:val="2EA27501"/>
    <w:rsid w:val="2F97218C"/>
    <w:rsid w:val="30563853"/>
    <w:rsid w:val="308B0B94"/>
    <w:rsid w:val="30D926FF"/>
    <w:rsid w:val="31BB1005"/>
    <w:rsid w:val="31FF358A"/>
    <w:rsid w:val="326437DB"/>
    <w:rsid w:val="32C122C1"/>
    <w:rsid w:val="334412CE"/>
    <w:rsid w:val="334F4C77"/>
    <w:rsid w:val="3387447F"/>
    <w:rsid w:val="33ED2723"/>
    <w:rsid w:val="34255A9B"/>
    <w:rsid w:val="343B6EF0"/>
    <w:rsid w:val="344D3B47"/>
    <w:rsid w:val="348F22D5"/>
    <w:rsid w:val="349B511E"/>
    <w:rsid w:val="34C603ED"/>
    <w:rsid w:val="353C0A11"/>
    <w:rsid w:val="358838F4"/>
    <w:rsid w:val="35D762F8"/>
    <w:rsid w:val="36320911"/>
    <w:rsid w:val="36987B67"/>
    <w:rsid w:val="36F02931"/>
    <w:rsid w:val="37107D85"/>
    <w:rsid w:val="373A15D6"/>
    <w:rsid w:val="38D96215"/>
    <w:rsid w:val="39642841"/>
    <w:rsid w:val="39754718"/>
    <w:rsid w:val="39DA0404"/>
    <w:rsid w:val="3A0948D8"/>
    <w:rsid w:val="3AE0314C"/>
    <w:rsid w:val="3B616EB5"/>
    <w:rsid w:val="3B6B584A"/>
    <w:rsid w:val="3BAB20EB"/>
    <w:rsid w:val="3BFD221A"/>
    <w:rsid w:val="3C065573"/>
    <w:rsid w:val="3C073099"/>
    <w:rsid w:val="3C34763D"/>
    <w:rsid w:val="3C413F1D"/>
    <w:rsid w:val="3C485B8B"/>
    <w:rsid w:val="3C850B8E"/>
    <w:rsid w:val="3CC67E53"/>
    <w:rsid w:val="3CD25455"/>
    <w:rsid w:val="3DF11443"/>
    <w:rsid w:val="3E430897"/>
    <w:rsid w:val="3F3B3785"/>
    <w:rsid w:val="3F666476"/>
    <w:rsid w:val="3F8C2233"/>
    <w:rsid w:val="3F964E60"/>
    <w:rsid w:val="40610FCA"/>
    <w:rsid w:val="40FE4A6B"/>
    <w:rsid w:val="412650B1"/>
    <w:rsid w:val="416A1975"/>
    <w:rsid w:val="41E53940"/>
    <w:rsid w:val="42116A20"/>
    <w:rsid w:val="425F778B"/>
    <w:rsid w:val="42BB3023"/>
    <w:rsid w:val="4345762A"/>
    <w:rsid w:val="44DF2E05"/>
    <w:rsid w:val="45056E7F"/>
    <w:rsid w:val="451714F6"/>
    <w:rsid w:val="45516AEC"/>
    <w:rsid w:val="476A10AC"/>
    <w:rsid w:val="47937145"/>
    <w:rsid w:val="47B5428C"/>
    <w:rsid w:val="47F623C8"/>
    <w:rsid w:val="48691363"/>
    <w:rsid w:val="488E2B78"/>
    <w:rsid w:val="48C447EC"/>
    <w:rsid w:val="48FF5F5C"/>
    <w:rsid w:val="496B13ED"/>
    <w:rsid w:val="49A63EF1"/>
    <w:rsid w:val="49B0089D"/>
    <w:rsid w:val="49B6077E"/>
    <w:rsid w:val="49D16504"/>
    <w:rsid w:val="4A123335"/>
    <w:rsid w:val="4A3E05CE"/>
    <w:rsid w:val="4A6F69D9"/>
    <w:rsid w:val="4A871F75"/>
    <w:rsid w:val="4AB97C54"/>
    <w:rsid w:val="4AF33166"/>
    <w:rsid w:val="4B427C4A"/>
    <w:rsid w:val="4B885FA4"/>
    <w:rsid w:val="4C2061DD"/>
    <w:rsid w:val="4C431ECB"/>
    <w:rsid w:val="4C8F5111"/>
    <w:rsid w:val="4C983FC5"/>
    <w:rsid w:val="4CC748AA"/>
    <w:rsid w:val="4D7D059C"/>
    <w:rsid w:val="4D9329DF"/>
    <w:rsid w:val="4DCD0948"/>
    <w:rsid w:val="4E604FB7"/>
    <w:rsid w:val="4F4E12B3"/>
    <w:rsid w:val="4F8275BE"/>
    <w:rsid w:val="4F9842DC"/>
    <w:rsid w:val="4FA03191"/>
    <w:rsid w:val="4FAE4CD6"/>
    <w:rsid w:val="4FE85264"/>
    <w:rsid w:val="5076286F"/>
    <w:rsid w:val="50A7496A"/>
    <w:rsid w:val="51456094"/>
    <w:rsid w:val="51AE3C48"/>
    <w:rsid w:val="52860D64"/>
    <w:rsid w:val="52952D55"/>
    <w:rsid w:val="53527BD7"/>
    <w:rsid w:val="53C5055D"/>
    <w:rsid w:val="540A4DAE"/>
    <w:rsid w:val="54193CA1"/>
    <w:rsid w:val="5489372F"/>
    <w:rsid w:val="54AA0511"/>
    <w:rsid w:val="558C6691"/>
    <w:rsid w:val="55BB0D24"/>
    <w:rsid w:val="55C86EB0"/>
    <w:rsid w:val="565A265D"/>
    <w:rsid w:val="56CC59EE"/>
    <w:rsid w:val="57476D14"/>
    <w:rsid w:val="575913A5"/>
    <w:rsid w:val="57A06424"/>
    <w:rsid w:val="583600A6"/>
    <w:rsid w:val="584E6EFC"/>
    <w:rsid w:val="59324B75"/>
    <w:rsid w:val="59E3084A"/>
    <w:rsid w:val="59F36D13"/>
    <w:rsid w:val="5A301F2D"/>
    <w:rsid w:val="5A3827D9"/>
    <w:rsid w:val="5A9B3A51"/>
    <w:rsid w:val="5AAE6289"/>
    <w:rsid w:val="5AC8016B"/>
    <w:rsid w:val="5AD22D98"/>
    <w:rsid w:val="5B0171D9"/>
    <w:rsid w:val="5B13515F"/>
    <w:rsid w:val="5B4B2B4A"/>
    <w:rsid w:val="5B841BB9"/>
    <w:rsid w:val="5BCD17B1"/>
    <w:rsid w:val="5BEC60DC"/>
    <w:rsid w:val="5C714468"/>
    <w:rsid w:val="5CAF5FE8"/>
    <w:rsid w:val="5D445AA3"/>
    <w:rsid w:val="5D68419A"/>
    <w:rsid w:val="5D921D6B"/>
    <w:rsid w:val="5DA46536"/>
    <w:rsid w:val="5E2F3345"/>
    <w:rsid w:val="5EB17AF5"/>
    <w:rsid w:val="5EE94B54"/>
    <w:rsid w:val="5F1119B5"/>
    <w:rsid w:val="5F9209D2"/>
    <w:rsid w:val="5FC627A0"/>
    <w:rsid w:val="5FD255E8"/>
    <w:rsid w:val="60055362"/>
    <w:rsid w:val="6039592F"/>
    <w:rsid w:val="6129061A"/>
    <w:rsid w:val="612F6DD4"/>
    <w:rsid w:val="6162474A"/>
    <w:rsid w:val="61897F29"/>
    <w:rsid w:val="619A0388"/>
    <w:rsid w:val="61BE5E24"/>
    <w:rsid w:val="61D76EE6"/>
    <w:rsid w:val="61E57855"/>
    <w:rsid w:val="61F730E4"/>
    <w:rsid w:val="6269729D"/>
    <w:rsid w:val="62B8752A"/>
    <w:rsid w:val="62B97584"/>
    <w:rsid w:val="63143C4C"/>
    <w:rsid w:val="634C1783"/>
    <w:rsid w:val="63520F1A"/>
    <w:rsid w:val="63744EC1"/>
    <w:rsid w:val="639948E9"/>
    <w:rsid w:val="63D849D2"/>
    <w:rsid w:val="63E24993"/>
    <w:rsid w:val="646A4041"/>
    <w:rsid w:val="652E2329"/>
    <w:rsid w:val="65401246"/>
    <w:rsid w:val="65A17F37"/>
    <w:rsid w:val="65AD38C9"/>
    <w:rsid w:val="65F30067"/>
    <w:rsid w:val="660B3602"/>
    <w:rsid w:val="6703088E"/>
    <w:rsid w:val="673E33DE"/>
    <w:rsid w:val="67A52D65"/>
    <w:rsid w:val="683A1F7D"/>
    <w:rsid w:val="685017A0"/>
    <w:rsid w:val="68680898"/>
    <w:rsid w:val="68E72104"/>
    <w:rsid w:val="69791802"/>
    <w:rsid w:val="697F1322"/>
    <w:rsid w:val="69C13E71"/>
    <w:rsid w:val="69E95A08"/>
    <w:rsid w:val="6A3F1373"/>
    <w:rsid w:val="6A7D43A3"/>
    <w:rsid w:val="6A9811DC"/>
    <w:rsid w:val="6ADE1FDD"/>
    <w:rsid w:val="6AF503DD"/>
    <w:rsid w:val="6B030D4C"/>
    <w:rsid w:val="6B580A8D"/>
    <w:rsid w:val="6B9145AA"/>
    <w:rsid w:val="6C336A11"/>
    <w:rsid w:val="6C5546A1"/>
    <w:rsid w:val="6C924135"/>
    <w:rsid w:val="6CBA18DE"/>
    <w:rsid w:val="6D1B17DA"/>
    <w:rsid w:val="6D5D6493"/>
    <w:rsid w:val="6E0214BE"/>
    <w:rsid w:val="6E2A4841"/>
    <w:rsid w:val="6E4E756D"/>
    <w:rsid w:val="6E5A0C83"/>
    <w:rsid w:val="6E612A2C"/>
    <w:rsid w:val="6F3C482C"/>
    <w:rsid w:val="6F885CC3"/>
    <w:rsid w:val="6FC50CC6"/>
    <w:rsid w:val="6FF13869"/>
    <w:rsid w:val="708315D3"/>
    <w:rsid w:val="70FA674D"/>
    <w:rsid w:val="712744BE"/>
    <w:rsid w:val="715403A3"/>
    <w:rsid w:val="717C4D3F"/>
    <w:rsid w:val="71D7462C"/>
    <w:rsid w:val="721F72E2"/>
    <w:rsid w:val="725D3437"/>
    <w:rsid w:val="7298446F"/>
    <w:rsid w:val="729C31C4"/>
    <w:rsid w:val="72D46151"/>
    <w:rsid w:val="73722F12"/>
    <w:rsid w:val="73E21E46"/>
    <w:rsid w:val="73EA2AA9"/>
    <w:rsid w:val="74364271"/>
    <w:rsid w:val="7443665D"/>
    <w:rsid w:val="75573A71"/>
    <w:rsid w:val="757A03BA"/>
    <w:rsid w:val="75A702C8"/>
    <w:rsid w:val="75CD4430"/>
    <w:rsid w:val="763E7DF8"/>
    <w:rsid w:val="76404969"/>
    <w:rsid w:val="764A3CD3"/>
    <w:rsid w:val="764C417F"/>
    <w:rsid w:val="766109AA"/>
    <w:rsid w:val="76655312"/>
    <w:rsid w:val="777D1E86"/>
    <w:rsid w:val="78670B6C"/>
    <w:rsid w:val="788D434B"/>
    <w:rsid w:val="78C31B1A"/>
    <w:rsid w:val="78DE2ED0"/>
    <w:rsid w:val="790A599B"/>
    <w:rsid w:val="7928471E"/>
    <w:rsid w:val="79685F4F"/>
    <w:rsid w:val="7B2A5E81"/>
    <w:rsid w:val="7B3D5BB4"/>
    <w:rsid w:val="7B533629"/>
    <w:rsid w:val="7B652CB3"/>
    <w:rsid w:val="7BC10593"/>
    <w:rsid w:val="7BDF6C6B"/>
    <w:rsid w:val="7C5E4034"/>
    <w:rsid w:val="7CD77733"/>
    <w:rsid w:val="7D214B42"/>
    <w:rsid w:val="7D2A03BA"/>
    <w:rsid w:val="7D6C452F"/>
    <w:rsid w:val="7DC97BD3"/>
    <w:rsid w:val="7ED44A81"/>
    <w:rsid w:val="7F0C421B"/>
    <w:rsid w:val="7F17094D"/>
    <w:rsid w:val="7F705BA9"/>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autoRedefine/>
    <w:qFormat/>
    <w:uiPriority w:val="0"/>
    <w:pPr>
      <w:keepNext/>
      <w:keepLines/>
      <w:spacing w:before="260" w:after="260" w:line="413" w:lineRule="auto"/>
      <w:outlineLvl w:val="1"/>
    </w:pPr>
    <w:rPr>
      <w:rFonts w:ascii="Arial" w:hAnsi="Arial" w:eastAsia="黑体"/>
      <w:b/>
      <w:bCs/>
      <w:sz w:val="32"/>
      <w:szCs w:val="32"/>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autoRedefine/>
    <w:qFormat/>
    <w:uiPriority w:val="0"/>
    <w:rPr>
      <w:b/>
    </w:rPr>
  </w:style>
  <w:style w:type="character" w:customStyle="1" w:styleId="8">
    <w:name w:val="apple-style-span"/>
    <w:autoRedefine/>
    <w:qFormat/>
    <w:uiPriority w:val="0"/>
  </w:style>
  <w:style w:type="paragraph" w:styleId="9">
    <w:name w:val="List Paragraph"/>
    <w:basedOn w:val="1"/>
    <w:autoRedefine/>
    <w:qFormat/>
    <w:uiPriority w:val="34"/>
    <w:pPr>
      <w:ind w:firstLine="420" w:firstLineChars="200"/>
    </w:pPr>
    <w:rPr>
      <w:szCs w:val="22"/>
    </w:rPr>
  </w:style>
  <w:style w:type="character" w:customStyle="1" w:styleId="10">
    <w:name w:val="font31"/>
    <w:basedOn w:val="6"/>
    <w:qFormat/>
    <w:uiPriority w:val="0"/>
    <w:rPr>
      <w:rFonts w:ascii="Arial" w:hAnsi="Arial" w:cs="Arial"/>
      <w:color w:val="000000"/>
      <w:sz w:val="20"/>
      <w:szCs w:val="20"/>
      <w:u w:val="none"/>
    </w:rPr>
  </w:style>
  <w:style w:type="character" w:customStyle="1" w:styleId="11">
    <w:name w:val="font21"/>
    <w:basedOn w:val="6"/>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566</Words>
  <Characters>612</Characters>
  <Lines>0</Lines>
  <Paragraphs>0</Paragraphs>
  <TotalTime>0</TotalTime>
  <ScaleCrop>false</ScaleCrop>
  <LinksUpToDate>false</LinksUpToDate>
  <CharactersWithSpaces>612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2023-02-10T09:17:00Z</dcterms:created>
  <dc:creator>admin</dc:creator>
  <cp:lastModifiedBy>～曼珠沙华～</cp:lastModifiedBy>
  <cp:lastPrinted>2025-06-13T01:16:00Z</cp:lastPrinted>
  <dcterms:modified xsi:type="dcterms:W3CDTF">2026-04-28T01:31:52Z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5FCE75952D2842FD9FED23939AC44285_13</vt:lpwstr>
  </property>
  <property fmtid="{D5CDD505-2E9C-101B-9397-08002B2CF9AE}" pid="4" name="KSOTemplateDocerSaveRecord">
    <vt:lpwstr>eyJoZGlkIjoiYzZiZTBmNGEwN2E3MDFkOWM0MDVkMWY2NGI2ODRmM2IiLCJ1c2VySWQiOiI1NjY5ODYxOTMifQ==</vt:lpwstr>
  </property>
</Properties>
</file>