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317F6">
      <w:pPr>
        <w:spacing w:line="560" w:lineRule="exact"/>
        <w:jc w:val="both"/>
        <w:rPr>
          <w:rFonts w:hint="eastAsia" w:ascii="仿宋" w:hAnsi="仿宋" w:eastAsia="仿宋" w:cs="仿宋"/>
          <w:b w:val="0"/>
          <w:sz w:val="32"/>
          <w:lang w:val="en-US" w:eastAsia="zh-CN"/>
        </w:rPr>
      </w:pPr>
      <w:r>
        <w:rPr>
          <w:rFonts w:hint="eastAsia" w:ascii="仿宋" w:hAnsi="仿宋" w:eastAsia="仿宋" w:cs="仿宋"/>
          <w:b w:val="0"/>
          <w:sz w:val="32"/>
          <w:lang w:val="en-US" w:eastAsia="zh-CN"/>
        </w:rPr>
        <w:t>附件2：</w:t>
      </w:r>
    </w:p>
    <w:p w14:paraId="101D4127">
      <w:pPr>
        <w:spacing w:line="560" w:lineRule="exact"/>
        <w:jc w:val="center"/>
        <w:rPr>
          <w:rFonts w:hint="eastAsia" w:ascii="仿宋" w:hAnsi="仿宋" w:eastAsia="仿宋" w:cs="仿宋"/>
          <w:b/>
          <w:bCs/>
          <w:sz w:val="32"/>
          <w:lang w:val="en-US" w:eastAsia="zh-CN"/>
        </w:rPr>
      </w:pPr>
      <w:r>
        <w:rPr>
          <w:rFonts w:hint="eastAsia" w:ascii="仿宋" w:hAnsi="仿宋" w:eastAsia="仿宋" w:cs="仿宋"/>
          <w:b/>
          <w:bCs/>
          <w:sz w:val="32"/>
          <w:lang w:val="en-US" w:eastAsia="zh-CN"/>
        </w:rPr>
        <w:t>肺结节随访诊治中心技术要求、商务要求</w:t>
      </w:r>
    </w:p>
    <w:p w14:paraId="08E3AFF7">
      <w:pPr>
        <w:spacing w:line="560" w:lineRule="exact"/>
        <w:jc w:val="both"/>
        <w:rPr>
          <w:rFonts w:hint="default" w:ascii="仿宋" w:hAnsi="仿宋" w:eastAsia="仿宋" w:cs="仿宋"/>
          <w:b w:val="0"/>
          <w:sz w:val="32"/>
          <w:lang w:val="en-US" w:eastAsia="zh-CN"/>
        </w:rPr>
      </w:pPr>
      <w:r>
        <w:rPr>
          <w:rFonts w:hint="eastAsia" w:ascii="仿宋" w:hAnsi="仿宋" w:eastAsia="仿宋" w:cs="仿宋"/>
          <w:b w:val="0"/>
          <w:sz w:val="32"/>
          <w:lang w:val="en-US" w:eastAsia="zh-CN"/>
        </w:rPr>
        <w:t>一、技术要求：</w:t>
      </w:r>
    </w:p>
    <w:tbl>
      <w:tblPr>
        <w:tblStyle w:val="4"/>
        <w:tblW w:w="8817"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783"/>
        <w:gridCol w:w="6300"/>
      </w:tblGrid>
      <w:tr w14:paraId="7906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14:paraId="32DA3B71">
            <w:pPr>
              <w:widowControl/>
              <w:jc w:val="center"/>
              <w:rPr>
                <w:rFonts w:ascii="微软雅黑" w:hAnsi="微软雅黑" w:eastAsia="微软雅黑" w:cs="宋体"/>
                <w:b w:val="0"/>
                <w:bCs w:val="0"/>
                <w:color w:val="000000"/>
                <w:sz w:val="20"/>
                <w:szCs w:val="22"/>
              </w:rPr>
            </w:pPr>
            <w:r>
              <w:rPr>
                <w:rFonts w:hint="eastAsia" w:ascii="微软雅黑" w:hAnsi="微软雅黑" w:eastAsia="微软雅黑" w:cs="宋体"/>
                <w:b w:val="0"/>
                <w:bCs w:val="0"/>
                <w:color w:val="000000"/>
                <w:sz w:val="20"/>
                <w:szCs w:val="22"/>
              </w:rPr>
              <w:t>序号</w:t>
            </w:r>
          </w:p>
        </w:tc>
        <w:tc>
          <w:tcPr>
            <w:tcW w:w="1783" w:type="dxa"/>
            <w:vAlign w:val="center"/>
          </w:tcPr>
          <w:p w14:paraId="04CC4199">
            <w:pPr>
              <w:widowControl/>
              <w:jc w:val="center"/>
              <w:rPr>
                <w:rFonts w:hint="eastAsia" w:ascii="微软雅黑" w:hAnsi="微软雅黑" w:eastAsia="微软雅黑" w:cs="宋体"/>
                <w:b w:val="0"/>
                <w:bCs w:val="0"/>
                <w:color w:val="000000"/>
                <w:sz w:val="20"/>
                <w:szCs w:val="22"/>
                <w:lang w:val="en-US" w:eastAsia="zh-CN"/>
              </w:rPr>
            </w:pPr>
            <w:r>
              <w:rPr>
                <w:rFonts w:hint="eastAsia" w:ascii="微软雅黑" w:hAnsi="微软雅黑" w:eastAsia="微软雅黑" w:cs="宋体"/>
                <w:b w:val="0"/>
                <w:bCs w:val="0"/>
                <w:color w:val="000000"/>
                <w:sz w:val="20"/>
                <w:szCs w:val="22"/>
              </w:rPr>
              <w:t>服务</w:t>
            </w:r>
            <w:r>
              <w:rPr>
                <w:rFonts w:ascii="微软雅黑" w:hAnsi="微软雅黑" w:eastAsia="微软雅黑" w:cs="宋体"/>
                <w:b w:val="0"/>
                <w:bCs w:val="0"/>
                <w:color w:val="000000"/>
                <w:sz w:val="20"/>
                <w:szCs w:val="22"/>
              </w:rPr>
              <w:t>功能</w:t>
            </w:r>
            <w:r>
              <w:rPr>
                <w:rFonts w:hint="eastAsia" w:ascii="微软雅黑" w:hAnsi="微软雅黑" w:eastAsia="微软雅黑" w:cs="宋体"/>
                <w:b w:val="0"/>
                <w:bCs w:val="0"/>
                <w:color w:val="000000"/>
                <w:sz w:val="20"/>
                <w:szCs w:val="22"/>
                <w:lang w:val="en-US" w:eastAsia="zh-CN"/>
              </w:rPr>
              <w:t>名称</w:t>
            </w:r>
          </w:p>
        </w:tc>
        <w:tc>
          <w:tcPr>
            <w:tcW w:w="6300" w:type="dxa"/>
            <w:vAlign w:val="center"/>
          </w:tcPr>
          <w:p w14:paraId="6FB94DC2">
            <w:pPr>
              <w:widowControl/>
              <w:jc w:val="center"/>
              <w:rPr>
                <w:rFonts w:hint="eastAsia" w:ascii="微软雅黑" w:hAnsi="微软雅黑" w:eastAsia="微软雅黑" w:cs="宋体"/>
                <w:b w:val="0"/>
                <w:bCs w:val="0"/>
                <w:color w:val="000000"/>
                <w:sz w:val="20"/>
                <w:szCs w:val="22"/>
              </w:rPr>
            </w:pPr>
            <w:r>
              <w:rPr>
                <w:rFonts w:hint="eastAsia" w:ascii="微软雅黑" w:hAnsi="微软雅黑" w:eastAsia="微软雅黑" w:cs="宋体"/>
                <w:b w:val="0"/>
                <w:bCs w:val="0"/>
                <w:color w:val="000000"/>
                <w:sz w:val="20"/>
                <w:szCs w:val="22"/>
              </w:rPr>
              <w:t>服务</w:t>
            </w:r>
            <w:r>
              <w:rPr>
                <w:rFonts w:ascii="微软雅黑" w:hAnsi="微软雅黑" w:eastAsia="微软雅黑" w:cs="宋体"/>
                <w:b w:val="0"/>
                <w:bCs w:val="0"/>
                <w:color w:val="000000"/>
                <w:sz w:val="20"/>
                <w:szCs w:val="22"/>
              </w:rPr>
              <w:t>功能</w:t>
            </w:r>
            <w:r>
              <w:rPr>
                <w:rFonts w:hint="eastAsia" w:ascii="微软雅黑" w:hAnsi="微软雅黑" w:eastAsia="微软雅黑" w:cs="宋体"/>
                <w:b w:val="0"/>
                <w:bCs w:val="0"/>
                <w:color w:val="000000"/>
                <w:sz w:val="20"/>
                <w:szCs w:val="22"/>
              </w:rPr>
              <w:t>描述</w:t>
            </w:r>
          </w:p>
        </w:tc>
      </w:tr>
      <w:tr w14:paraId="69AF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14:paraId="13D5DDBD">
            <w:pPr>
              <w:widowControl/>
              <w:jc w:val="center"/>
              <w:rPr>
                <w:rFonts w:hint="eastAsia" w:ascii="微软雅黑" w:hAnsi="微软雅黑" w:eastAsia="微软雅黑" w:cs="宋体"/>
                <w:b w:val="0"/>
                <w:bCs w:val="0"/>
                <w:color w:val="000000"/>
                <w:sz w:val="20"/>
                <w:szCs w:val="22"/>
                <w:lang w:val="en-US" w:eastAsia="zh-CN"/>
              </w:rPr>
            </w:pPr>
            <w:r>
              <w:rPr>
                <w:rFonts w:hint="eastAsia" w:ascii="微软雅黑" w:hAnsi="微软雅黑" w:eastAsia="微软雅黑" w:cs="宋体"/>
                <w:b w:val="0"/>
                <w:bCs w:val="0"/>
                <w:color w:val="000000"/>
                <w:sz w:val="20"/>
                <w:szCs w:val="22"/>
                <w:lang w:val="en-US" w:eastAsia="zh-CN"/>
              </w:rPr>
              <w:t>1</w:t>
            </w:r>
          </w:p>
        </w:tc>
        <w:tc>
          <w:tcPr>
            <w:tcW w:w="1783" w:type="dxa"/>
            <w:vAlign w:val="center"/>
          </w:tcPr>
          <w:p w14:paraId="5DD4BAEE">
            <w:pPr>
              <w:widowControl/>
              <w:jc w:val="left"/>
              <w:rPr>
                <w:rFonts w:hint="eastAsia" w:ascii="微软雅黑" w:hAnsi="微软雅黑" w:eastAsia="微软雅黑" w:cs="宋体"/>
                <w:b w:val="0"/>
                <w:bCs w:val="0"/>
                <w:color w:val="000000"/>
                <w:sz w:val="20"/>
                <w:szCs w:val="22"/>
              </w:rPr>
            </w:pPr>
            <w:r>
              <w:rPr>
                <w:rFonts w:hint="eastAsia" w:ascii="宋体" w:hAnsi="宋体" w:eastAsia="宋体" w:cs="Times New Roman"/>
                <w:lang w:val="en-US" w:eastAsia="zh-CN"/>
              </w:rPr>
              <w:t>专家赋能</w:t>
            </w:r>
          </w:p>
        </w:tc>
        <w:tc>
          <w:tcPr>
            <w:tcW w:w="6300" w:type="dxa"/>
            <w:vAlign w:val="center"/>
          </w:tcPr>
          <w:p w14:paraId="54DFA4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1.供应商协调安排上海市第一人民医院胸外科吴亮主任专家团队每两周</w:t>
            </w:r>
            <w:bookmarkStart w:id="1" w:name="_GoBack"/>
            <w:bookmarkEnd w:id="1"/>
            <w:r>
              <w:rPr>
                <w:rFonts w:hint="eastAsia" w:ascii="宋体" w:hAnsi="宋体" w:eastAsia="宋体" w:cs="Times New Roman"/>
                <w:lang w:val="en-US" w:eastAsia="zh-CN"/>
              </w:rPr>
              <w:t>一次至采购人处开展教学门诊、病例讨论、教学查房、手术指导等工作。</w:t>
            </w:r>
          </w:p>
          <w:p w14:paraId="18CDBC6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微软雅黑" w:hAnsi="微软雅黑" w:eastAsia="微软雅黑" w:cs="宋体"/>
                <w:b w:val="0"/>
                <w:bCs w:val="0"/>
                <w:color w:val="000000"/>
                <w:sz w:val="20"/>
                <w:szCs w:val="22"/>
              </w:rPr>
            </w:pPr>
            <w:r>
              <w:rPr>
                <w:rFonts w:hint="eastAsia" w:ascii="宋体" w:hAnsi="宋体" w:eastAsia="宋体" w:cs="Times New Roman"/>
                <w:lang w:val="en-US" w:eastAsia="zh-CN"/>
              </w:rPr>
              <w:t>2.供应商为采购人相关科室提供3-5名医护人员到专家所在医院进修的便利服务。</w:t>
            </w:r>
          </w:p>
        </w:tc>
      </w:tr>
      <w:tr w14:paraId="5354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14:paraId="28397920">
            <w:pPr>
              <w:widowControl/>
              <w:jc w:val="center"/>
              <w:rPr>
                <w:rFonts w:hint="default" w:ascii="微软雅黑" w:hAnsi="微软雅黑" w:eastAsia="微软雅黑" w:cs="宋体"/>
                <w:b w:val="0"/>
                <w:bCs w:val="0"/>
                <w:color w:val="000000"/>
                <w:sz w:val="20"/>
                <w:szCs w:val="22"/>
                <w:lang w:val="en-US" w:eastAsia="zh-CN"/>
              </w:rPr>
            </w:pPr>
            <w:r>
              <w:rPr>
                <w:rFonts w:hint="eastAsia" w:ascii="微软雅黑" w:hAnsi="微软雅黑" w:eastAsia="微软雅黑" w:cs="宋体"/>
                <w:b w:val="0"/>
                <w:bCs w:val="0"/>
                <w:color w:val="000000"/>
                <w:sz w:val="20"/>
                <w:szCs w:val="22"/>
                <w:lang w:val="en-US" w:eastAsia="zh-CN"/>
              </w:rPr>
              <w:t>2</w:t>
            </w:r>
          </w:p>
        </w:tc>
        <w:tc>
          <w:tcPr>
            <w:tcW w:w="1783" w:type="dxa"/>
            <w:vAlign w:val="center"/>
          </w:tcPr>
          <w:p w14:paraId="3C926CCE">
            <w:pPr>
              <w:widowControl/>
              <w:jc w:val="left"/>
              <w:rPr>
                <w:rFonts w:hint="default" w:ascii="Arial" w:hAnsi="Arial" w:eastAsia="等线" w:cs="Arial"/>
                <w:sz w:val="22"/>
                <w:lang w:val="en-US" w:eastAsia="zh-CN"/>
              </w:rPr>
            </w:pPr>
            <w:r>
              <w:rPr>
                <w:rFonts w:hint="eastAsia" w:ascii="宋体" w:hAnsi="宋体" w:eastAsia="宋体" w:cs="Times New Roman"/>
                <w:lang w:val="en-US" w:eastAsia="zh-CN"/>
              </w:rPr>
              <w:t>项目实施方案</w:t>
            </w:r>
          </w:p>
        </w:tc>
        <w:tc>
          <w:tcPr>
            <w:tcW w:w="6300" w:type="dxa"/>
            <w:vAlign w:val="center"/>
          </w:tcPr>
          <w:p w14:paraId="56F2A3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供应商提供完整、可落地的项目实施方案，包含实施计划、流程、节点、保障措施等内容。</w:t>
            </w:r>
          </w:p>
        </w:tc>
      </w:tr>
      <w:tr w14:paraId="4B4E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14:paraId="6916E98D">
            <w:pPr>
              <w:widowControl/>
              <w:jc w:val="center"/>
              <w:rPr>
                <w:rFonts w:hint="default" w:ascii="微软雅黑" w:hAnsi="微软雅黑" w:eastAsia="微软雅黑" w:cs="宋体"/>
                <w:b w:val="0"/>
                <w:bCs w:val="0"/>
                <w:color w:val="000000"/>
                <w:sz w:val="20"/>
                <w:szCs w:val="22"/>
                <w:lang w:val="en-US" w:eastAsia="zh-CN"/>
              </w:rPr>
            </w:pPr>
            <w:r>
              <w:rPr>
                <w:rFonts w:hint="eastAsia" w:ascii="微软雅黑" w:hAnsi="微软雅黑" w:eastAsia="微软雅黑" w:cs="宋体"/>
                <w:b w:val="0"/>
                <w:bCs w:val="0"/>
                <w:color w:val="000000"/>
                <w:sz w:val="20"/>
                <w:szCs w:val="22"/>
                <w:lang w:val="en-US" w:eastAsia="zh-CN"/>
              </w:rPr>
              <w:t>3</w:t>
            </w:r>
          </w:p>
        </w:tc>
        <w:tc>
          <w:tcPr>
            <w:tcW w:w="1783" w:type="dxa"/>
            <w:vAlign w:val="center"/>
          </w:tcPr>
          <w:p w14:paraId="72B94D12">
            <w:pPr>
              <w:widowControl/>
              <w:jc w:val="left"/>
              <w:rPr>
                <w:rFonts w:hint="eastAsia" w:ascii="Arial" w:hAnsi="Arial" w:eastAsia="等线" w:cs="Arial"/>
                <w:sz w:val="22"/>
                <w:lang w:val="en-US" w:eastAsia="zh-CN"/>
              </w:rPr>
            </w:pPr>
            <w:r>
              <w:rPr>
                <w:rFonts w:hint="eastAsia" w:ascii="宋体" w:hAnsi="宋体" w:eastAsia="宋体" w:cs="Times New Roman"/>
                <w:lang w:val="en-US" w:eastAsia="zh-CN"/>
              </w:rPr>
              <w:t>标准化随访体系建立</w:t>
            </w:r>
          </w:p>
        </w:tc>
        <w:tc>
          <w:tcPr>
            <w:tcW w:w="6300" w:type="dxa"/>
            <w:vAlign w:val="center"/>
          </w:tcPr>
          <w:p w14:paraId="3C02FF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供应商建立适用于本院的肺结节患者标准化随访体系，明确随访流程、标准、内容与质控要求。肺结节随访诊治中心实体化建设（办公场所、办公用品、宣传物料制作、软硬装等）费用由采购人承担，不包含在供应商服务费中。</w:t>
            </w:r>
          </w:p>
        </w:tc>
      </w:tr>
      <w:tr w14:paraId="0AE9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14:paraId="1F196EA5">
            <w:pPr>
              <w:widowControl/>
              <w:jc w:val="center"/>
              <w:rPr>
                <w:rFonts w:hint="default" w:ascii="微软雅黑" w:hAnsi="微软雅黑" w:eastAsia="微软雅黑" w:cs="宋体"/>
                <w:b w:val="0"/>
                <w:bCs w:val="0"/>
                <w:color w:val="000000"/>
                <w:sz w:val="20"/>
                <w:szCs w:val="22"/>
                <w:lang w:val="en-US" w:eastAsia="zh-CN"/>
              </w:rPr>
            </w:pPr>
            <w:r>
              <w:rPr>
                <w:rFonts w:hint="eastAsia" w:ascii="微软雅黑" w:hAnsi="微软雅黑" w:eastAsia="微软雅黑" w:cs="宋体"/>
                <w:b w:val="0"/>
                <w:bCs w:val="0"/>
                <w:color w:val="000000"/>
                <w:sz w:val="20"/>
                <w:szCs w:val="22"/>
                <w:lang w:val="en-US" w:eastAsia="zh-CN"/>
              </w:rPr>
              <w:t>4</w:t>
            </w:r>
          </w:p>
        </w:tc>
        <w:tc>
          <w:tcPr>
            <w:tcW w:w="1783" w:type="dxa"/>
            <w:vAlign w:val="center"/>
          </w:tcPr>
          <w:p w14:paraId="4245F83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患者随访管理</w:t>
            </w:r>
          </w:p>
        </w:tc>
        <w:tc>
          <w:tcPr>
            <w:tcW w:w="6300" w:type="dxa"/>
            <w:vAlign w:val="center"/>
          </w:tcPr>
          <w:p w14:paraId="76231C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1.具备健康管理师/健康随访师证书的专职人员负责肺结节患者的随访工作；</w:t>
            </w:r>
          </w:p>
          <w:p w14:paraId="0E0C2239">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供应商为每位肺结节患者建立详细的健康档案，并提供专业化术前、术中、术后随访跟踪服务，包括但不限于患者信息收集、病情追踪、康复指导及健康咨询等。</w:t>
            </w:r>
          </w:p>
          <w:p w14:paraId="170733BC">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每年协助采购人科室组织义诊相关活动不低于2次，将肺结节随访中心推广到基层，扩大患者基数。</w:t>
            </w:r>
          </w:p>
          <w:p w14:paraId="41EDBAB2">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每年随访不低于3000名肺结节患者。</w:t>
            </w:r>
          </w:p>
        </w:tc>
      </w:tr>
      <w:tr w14:paraId="1E54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14:paraId="14B4A203">
            <w:pPr>
              <w:widowControl/>
              <w:jc w:val="center"/>
              <w:rPr>
                <w:rFonts w:hint="default" w:ascii="微软雅黑" w:hAnsi="微软雅黑" w:eastAsia="微软雅黑" w:cs="宋体"/>
                <w:b w:val="0"/>
                <w:bCs w:val="0"/>
                <w:color w:val="000000"/>
                <w:sz w:val="20"/>
                <w:szCs w:val="22"/>
                <w:lang w:val="en-US" w:eastAsia="zh-CN"/>
              </w:rPr>
            </w:pPr>
            <w:r>
              <w:rPr>
                <w:rFonts w:hint="eastAsia" w:ascii="微软雅黑" w:hAnsi="微软雅黑" w:eastAsia="微软雅黑" w:cs="宋体"/>
                <w:b w:val="0"/>
                <w:bCs w:val="0"/>
                <w:color w:val="000000"/>
                <w:sz w:val="20"/>
                <w:szCs w:val="22"/>
                <w:lang w:val="en-US" w:eastAsia="zh-CN"/>
              </w:rPr>
              <w:t>5</w:t>
            </w:r>
          </w:p>
        </w:tc>
        <w:tc>
          <w:tcPr>
            <w:tcW w:w="1783" w:type="dxa"/>
            <w:vAlign w:val="center"/>
          </w:tcPr>
          <w:p w14:paraId="2F45239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Times New Roman"/>
                <w:lang w:val="en-US" w:eastAsia="zh-CN"/>
              </w:rPr>
            </w:pPr>
            <w:r>
              <w:rPr>
                <w:rFonts w:hint="eastAsia" w:ascii="宋体" w:hAnsi="宋体" w:eastAsia="宋体" w:cs="Times New Roman"/>
                <w:lang w:val="en-US" w:eastAsia="zh-CN"/>
              </w:rPr>
              <w:t>患者转化方案及要求</w:t>
            </w:r>
          </w:p>
        </w:tc>
        <w:tc>
          <w:tcPr>
            <w:tcW w:w="6300" w:type="dxa"/>
            <w:vAlign w:val="center"/>
          </w:tcPr>
          <w:p w14:paraId="0B731C3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1.供应商负责肺结节患者手术转化工作。</w:t>
            </w:r>
          </w:p>
          <w:p w14:paraId="23119118">
            <w:pPr>
              <w:keepNext w:val="0"/>
              <w:keepLines w:val="0"/>
              <w:pageBreakBefore w:val="0"/>
              <w:widowControl w:val="0"/>
              <w:kinsoku/>
              <w:wordWrap/>
              <w:overflowPunct/>
              <w:topLinePunct w:val="0"/>
              <w:autoSpaceDE/>
              <w:autoSpaceDN/>
              <w:bidi w:val="0"/>
              <w:adjustRightInd/>
              <w:snapToGrid/>
              <w:spacing w:before="92" w:line="360" w:lineRule="auto"/>
              <w:ind w:right="22"/>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2.采购人科室需积极配合供应商进行手术患者的转化。对于随访筛选出的符合手术指征的患者，充分利用专家品牌效应，积极推荐专家，提升患者留院转化率。</w:t>
            </w:r>
            <w:r>
              <w:rPr>
                <w:rFonts w:hint="eastAsia" w:ascii="宋体" w:hAnsi="宋体" w:eastAsia="宋体" w:cs="Times New Roman"/>
                <w:bCs w:val="0"/>
                <w:kern w:val="2"/>
                <w:sz w:val="21"/>
                <w:szCs w:val="24"/>
                <w:lang w:val="en-US" w:eastAsia="zh-CN" w:bidi="ar-SA"/>
              </w:rPr>
              <w:t>患者</w:t>
            </w:r>
            <w:r>
              <w:rPr>
                <w:rFonts w:hint="default" w:ascii="宋体" w:hAnsi="宋体" w:eastAsia="宋体" w:cs="Times New Roman"/>
                <w:bCs w:val="0"/>
                <w:kern w:val="2"/>
                <w:sz w:val="21"/>
                <w:szCs w:val="24"/>
                <w:lang w:val="en-US" w:eastAsia="zh-CN" w:bidi="ar-SA"/>
              </w:rPr>
              <w:t>若需专家提供会诊或手术服务，产生的对应费用由患者自行承担。</w:t>
            </w:r>
          </w:p>
          <w:p w14:paraId="7BA564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3.供应商定期向采购人汇报肺结节随访中心的数据，双方充分沟通并及时优化随访转化策略。</w:t>
            </w:r>
          </w:p>
          <w:p w14:paraId="403EFA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4.供应商促进采购人开展肺结节手术不低于60台/年。</w:t>
            </w:r>
          </w:p>
          <w:p w14:paraId="636B92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5.患者随访转化方案。</w:t>
            </w:r>
          </w:p>
        </w:tc>
      </w:tr>
      <w:tr w14:paraId="2DED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14:paraId="1A0A9A01">
            <w:pPr>
              <w:widowControl/>
              <w:jc w:val="center"/>
              <w:rPr>
                <w:rFonts w:hint="default" w:ascii="微软雅黑" w:hAnsi="微软雅黑" w:eastAsia="微软雅黑" w:cs="宋体"/>
                <w:b w:val="0"/>
                <w:bCs w:val="0"/>
                <w:color w:val="000000"/>
                <w:sz w:val="20"/>
                <w:szCs w:val="22"/>
                <w:lang w:val="en-US" w:eastAsia="zh-CN"/>
              </w:rPr>
            </w:pPr>
            <w:r>
              <w:rPr>
                <w:rFonts w:hint="eastAsia" w:ascii="微软雅黑" w:hAnsi="微软雅黑" w:eastAsia="微软雅黑" w:cs="宋体"/>
                <w:b w:val="0"/>
                <w:bCs w:val="0"/>
                <w:color w:val="000000"/>
                <w:sz w:val="20"/>
                <w:szCs w:val="22"/>
                <w:lang w:val="en-US" w:eastAsia="zh-CN"/>
              </w:rPr>
              <w:t>6</w:t>
            </w:r>
          </w:p>
        </w:tc>
        <w:tc>
          <w:tcPr>
            <w:tcW w:w="1783" w:type="dxa"/>
            <w:vAlign w:val="center"/>
          </w:tcPr>
          <w:p w14:paraId="7E1A08B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等线" w:cs="Times New Roman"/>
                <w:lang w:val="en-US" w:eastAsia="zh-CN"/>
              </w:rPr>
            </w:pPr>
            <w:r>
              <w:rPr>
                <w:rFonts w:hint="eastAsia" w:ascii="宋体" w:hAnsi="宋体" w:eastAsia="宋体" w:cs="Times New Roman"/>
                <w:lang w:val="en-US" w:eastAsia="zh-CN"/>
              </w:rPr>
              <w:t>宣传推广服务</w:t>
            </w:r>
          </w:p>
        </w:tc>
        <w:tc>
          <w:tcPr>
            <w:tcW w:w="6300" w:type="dxa"/>
            <w:vAlign w:val="center"/>
          </w:tcPr>
          <w:p w14:paraId="2F06A3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1.供应商提供肺结节随访诊治中心宣传推广服务，制定并执行不低于2次/月的宣传推广计划：</w:t>
            </w:r>
          </w:p>
          <w:p w14:paraId="244252C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（1）院方公众号发文2次/月，发布专家出诊信息和优质服务案例等内容；</w:t>
            </w:r>
          </w:p>
          <w:p w14:paraId="0CDDD1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（2）易拉宝不低于10个点位投放（诊疗区、住院部、电梯口等）</w:t>
            </w:r>
          </w:p>
          <w:p w14:paraId="4EDE0F1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（3）科室宣传推广服务；</w:t>
            </w:r>
          </w:p>
          <w:p w14:paraId="0199B2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2.宣传推广方案</w:t>
            </w:r>
          </w:p>
        </w:tc>
      </w:tr>
      <w:tr w14:paraId="24A0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14:paraId="1CC7A5C7">
            <w:pPr>
              <w:widowControl/>
              <w:jc w:val="center"/>
              <w:rPr>
                <w:rFonts w:hint="default" w:ascii="微软雅黑" w:hAnsi="微软雅黑" w:eastAsia="微软雅黑" w:cs="宋体"/>
                <w:b w:val="0"/>
                <w:bCs w:val="0"/>
                <w:color w:val="000000"/>
                <w:sz w:val="20"/>
                <w:szCs w:val="22"/>
                <w:lang w:val="en-US" w:eastAsia="zh-CN"/>
              </w:rPr>
            </w:pPr>
            <w:r>
              <w:rPr>
                <w:rFonts w:hint="eastAsia" w:ascii="微软雅黑" w:hAnsi="微软雅黑" w:eastAsia="微软雅黑" w:cs="宋体"/>
                <w:b w:val="0"/>
                <w:bCs w:val="0"/>
                <w:color w:val="000000"/>
                <w:sz w:val="20"/>
                <w:szCs w:val="22"/>
                <w:lang w:val="en-US" w:eastAsia="zh-CN"/>
              </w:rPr>
              <w:t>7</w:t>
            </w:r>
          </w:p>
        </w:tc>
        <w:tc>
          <w:tcPr>
            <w:tcW w:w="1783" w:type="dxa"/>
            <w:vAlign w:val="center"/>
          </w:tcPr>
          <w:p w14:paraId="5AED427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ascii="Arial" w:hAnsi="Arial" w:eastAsia="等线" w:cs="Arial"/>
                <w:sz w:val="22"/>
              </w:rPr>
            </w:pPr>
            <w:r>
              <w:rPr>
                <w:rFonts w:hint="eastAsia" w:ascii="宋体" w:hAnsi="宋体" w:eastAsia="宋体" w:cs="Times New Roman"/>
                <w:lang w:val="en-US" w:eastAsia="zh-CN"/>
              </w:rPr>
              <w:t>随访数据系统服务</w:t>
            </w:r>
          </w:p>
        </w:tc>
        <w:tc>
          <w:tcPr>
            <w:tcW w:w="6300" w:type="dxa"/>
            <w:vAlign w:val="center"/>
          </w:tcPr>
          <w:p w14:paraId="5CB62E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供应商为本项目配备的随访服务平台，须具备包括但不限于：</w:t>
            </w:r>
          </w:p>
          <w:p w14:paraId="693830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1.患者信息建档与管理；</w:t>
            </w:r>
          </w:p>
          <w:p w14:paraId="57ABC7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2. 随访计划制定与提醒；</w:t>
            </w:r>
          </w:p>
          <w:p w14:paraId="61CE73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 随访数据录入、统计与分析；</w:t>
            </w:r>
          </w:p>
          <w:p w14:paraId="4D1483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4.数据导出与报表生成。</w:t>
            </w:r>
          </w:p>
        </w:tc>
      </w:tr>
      <w:tr w14:paraId="4EE8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14:paraId="23D26859">
            <w:pPr>
              <w:widowControl/>
              <w:jc w:val="center"/>
              <w:rPr>
                <w:rFonts w:hint="default" w:ascii="微软雅黑" w:hAnsi="微软雅黑" w:eastAsia="微软雅黑" w:cs="宋体"/>
                <w:b w:val="0"/>
                <w:bCs w:val="0"/>
                <w:color w:val="000000"/>
                <w:sz w:val="20"/>
                <w:szCs w:val="22"/>
                <w:lang w:val="en-US" w:eastAsia="zh-CN"/>
              </w:rPr>
            </w:pPr>
            <w:r>
              <w:rPr>
                <w:rFonts w:hint="eastAsia" w:ascii="微软雅黑" w:hAnsi="微软雅黑" w:eastAsia="微软雅黑" w:cs="宋体"/>
                <w:b w:val="0"/>
                <w:bCs w:val="0"/>
                <w:color w:val="000000"/>
                <w:sz w:val="20"/>
                <w:szCs w:val="22"/>
                <w:lang w:val="en-US" w:eastAsia="zh-CN"/>
              </w:rPr>
              <w:t>8</w:t>
            </w:r>
          </w:p>
        </w:tc>
        <w:tc>
          <w:tcPr>
            <w:tcW w:w="1783" w:type="dxa"/>
            <w:vAlign w:val="center"/>
          </w:tcPr>
          <w:p w14:paraId="00457D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Arial" w:hAnsi="Arial" w:eastAsia="等线" w:cs="Arial"/>
                <w:sz w:val="22"/>
                <w:lang w:val="en-US" w:eastAsia="zh-CN"/>
              </w:rPr>
            </w:pPr>
            <w:r>
              <w:rPr>
                <w:rFonts w:hint="eastAsia" w:ascii="宋体" w:hAnsi="宋体" w:eastAsia="宋体" w:cs="Times New Roman"/>
                <w:lang w:val="en-US" w:eastAsia="zh-CN"/>
              </w:rPr>
              <w:t>人员配备</w:t>
            </w:r>
          </w:p>
        </w:tc>
        <w:tc>
          <w:tcPr>
            <w:tcW w:w="6300" w:type="dxa"/>
            <w:vAlign w:val="center"/>
          </w:tcPr>
          <w:p w14:paraId="787746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1.1名专业随访人员（驻院）：开展肺结节患者诊前、诊中、诊后标准化随访；</w:t>
            </w:r>
          </w:p>
          <w:p w14:paraId="5C06E8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2.1名专家助理（非驻院）：对接上海专家，协调专家出诊排班，出行服务保障；</w:t>
            </w:r>
          </w:p>
        </w:tc>
      </w:tr>
      <w:tr w14:paraId="5308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14:paraId="6B65A007">
            <w:pPr>
              <w:widowControl/>
              <w:jc w:val="center"/>
              <w:rPr>
                <w:rFonts w:hint="default" w:ascii="微软雅黑" w:hAnsi="微软雅黑" w:eastAsia="微软雅黑" w:cs="宋体"/>
                <w:b w:val="0"/>
                <w:bCs w:val="0"/>
                <w:color w:val="000000"/>
                <w:sz w:val="20"/>
                <w:szCs w:val="22"/>
                <w:lang w:val="en-US" w:eastAsia="zh-CN"/>
              </w:rPr>
            </w:pPr>
            <w:r>
              <w:rPr>
                <w:rFonts w:hint="eastAsia" w:ascii="微软雅黑" w:hAnsi="微软雅黑" w:eastAsia="微软雅黑" w:cs="宋体"/>
                <w:b w:val="0"/>
                <w:bCs w:val="0"/>
                <w:color w:val="000000"/>
                <w:sz w:val="20"/>
                <w:szCs w:val="22"/>
                <w:lang w:val="en-US" w:eastAsia="zh-CN"/>
              </w:rPr>
              <w:t>9</w:t>
            </w:r>
          </w:p>
        </w:tc>
        <w:tc>
          <w:tcPr>
            <w:tcW w:w="1783" w:type="dxa"/>
            <w:vAlign w:val="center"/>
          </w:tcPr>
          <w:p w14:paraId="752BE8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bCs w:val="0"/>
                <w:kern w:val="2"/>
                <w:sz w:val="21"/>
                <w:szCs w:val="24"/>
                <w:lang w:val="en-US" w:eastAsia="zh-CN" w:bidi="ar-SA"/>
              </w:rPr>
            </w:pPr>
            <w:r>
              <w:rPr>
                <w:rFonts w:hint="eastAsia" w:ascii="宋体" w:hAnsi="宋体" w:eastAsia="宋体" w:cs="Times New Roman"/>
                <w:bCs w:val="0"/>
                <w:kern w:val="2"/>
                <w:sz w:val="21"/>
                <w:szCs w:val="24"/>
                <w:lang w:val="en-US" w:eastAsia="zh-CN" w:bidi="ar-SA"/>
              </w:rPr>
              <w:t>供</w:t>
            </w:r>
            <w:r>
              <w:rPr>
                <w:rFonts w:hint="eastAsia" w:ascii="宋体" w:hAnsi="宋体" w:eastAsia="宋体" w:cs="Times New Roman"/>
                <w:lang w:val="en-US" w:eastAsia="zh-CN"/>
              </w:rPr>
              <w:t>应商类似项目业绩</w:t>
            </w:r>
          </w:p>
        </w:tc>
        <w:tc>
          <w:tcPr>
            <w:tcW w:w="6300" w:type="dxa"/>
            <w:vAlign w:val="center"/>
          </w:tcPr>
          <w:p w14:paraId="2FD3BF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lang w:val="en-US" w:eastAsia="zh-CN"/>
              </w:rPr>
            </w:pPr>
            <w:r>
              <w:rPr>
                <w:rFonts w:hint="eastAsia" w:ascii="宋体" w:hAnsi="宋体" w:eastAsia="宋体" w:cs="Times New Roman"/>
                <w:bCs w:val="0"/>
                <w:kern w:val="2"/>
                <w:sz w:val="21"/>
                <w:szCs w:val="24"/>
                <w:lang w:val="en-US" w:eastAsia="zh-CN" w:bidi="ar-SA"/>
              </w:rPr>
              <w:t>供应商自2022年1月1日（以合同签订时间为准）以来承担过医疗机构类似项目合同复印件。</w:t>
            </w:r>
          </w:p>
        </w:tc>
      </w:tr>
    </w:tbl>
    <w:p w14:paraId="4E4B2537">
      <w:pPr>
        <w:spacing w:line="560" w:lineRule="exact"/>
        <w:jc w:val="both"/>
        <w:rPr>
          <w:rFonts w:hint="eastAsia" w:ascii="仿宋" w:hAnsi="仿宋" w:eastAsia="仿宋" w:cs="仿宋"/>
          <w:b w:val="0"/>
          <w:sz w:val="32"/>
          <w:lang w:val="en-US" w:eastAsia="zh-CN"/>
        </w:rPr>
      </w:pPr>
      <w:bookmarkStart w:id="0" w:name="heading_12"/>
      <w:r>
        <w:rPr>
          <w:rFonts w:hint="eastAsia" w:ascii="仿宋" w:hAnsi="仿宋" w:eastAsia="仿宋" w:cs="仿宋"/>
          <w:b w:val="0"/>
          <w:sz w:val="32"/>
          <w:lang w:val="en-US" w:eastAsia="zh-CN"/>
        </w:rPr>
        <w:t>二、商务要求</w:t>
      </w:r>
      <w:bookmarkEnd w:id="0"/>
    </w:p>
    <w:p w14:paraId="0F5355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bCs w:val="0"/>
          <w:kern w:val="2"/>
          <w:sz w:val="21"/>
          <w:szCs w:val="24"/>
          <w:lang w:val="en-US" w:eastAsia="zh-CN" w:bidi="ar-SA"/>
        </w:rPr>
      </w:pPr>
      <w:r>
        <w:rPr>
          <w:rFonts w:hint="eastAsia" w:ascii="宋体" w:hAnsi="宋体" w:eastAsia="宋体" w:cs="Times New Roman"/>
          <w:bCs w:val="0"/>
          <w:kern w:val="2"/>
          <w:sz w:val="21"/>
          <w:szCs w:val="24"/>
          <w:lang w:val="en-US" w:eastAsia="zh-CN" w:bidi="ar-SA"/>
        </w:rPr>
        <w:t>1.服务期限：自合同签订之日起5年。</w:t>
      </w:r>
    </w:p>
    <w:p w14:paraId="25825F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Times New Roman"/>
          <w:bCs w:val="0"/>
          <w:kern w:val="2"/>
          <w:sz w:val="21"/>
          <w:szCs w:val="24"/>
          <w:lang w:val="en-US" w:eastAsia="zh-CN" w:bidi="ar-SA"/>
        </w:rPr>
      </w:pPr>
      <w:r>
        <w:rPr>
          <w:rFonts w:hint="eastAsia" w:ascii="宋体" w:hAnsi="宋体" w:eastAsia="宋体" w:cs="Times New Roman"/>
          <w:bCs w:val="0"/>
          <w:kern w:val="2"/>
          <w:sz w:val="21"/>
          <w:szCs w:val="24"/>
          <w:lang w:val="en-US" w:eastAsia="zh-CN" w:bidi="ar-SA"/>
        </w:rPr>
        <w:t>2.报价表及付款方式。</w:t>
      </w:r>
    </w:p>
    <w:p w14:paraId="4BAA708E">
      <w:pPr>
        <w:keepNext w:val="0"/>
        <w:keepLines w:val="0"/>
        <w:pageBreakBefore w:val="0"/>
        <w:widowControl w:val="0"/>
        <w:kinsoku/>
        <w:wordWrap/>
        <w:overflowPunct/>
        <w:topLinePunct w:val="0"/>
        <w:autoSpaceDE/>
        <w:autoSpaceDN/>
        <w:bidi w:val="0"/>
        <w:adjustRightInd/>
        <w:snapToGrid/>
        <w:spacing w:before="92" w:line="360" w:lineRule="auto"/>
        <w:ind w:right="22"/>
        <w:jc w:val="left"/>
        <w:textAlignment w:val="auto"/>
        <w:rPr>
          <w:rFonts w:hint="eastAsia" w:ascii="宋体" w:hAnsi="宋体" w:eastAsia="宋体" w:cs="Times New Roman"/>
          <w:bCs w:val="0"/>
          <w:kern w:val="2"/>
          <w:sz w:val="21"/>
          <w:szCs w:val="24"/>
          <w:lang w:val="en-US" w:eastAsia="zh-CN" w:bidi="ar-SA"/>
        </w:rPr>
      </w:pPr>
      <w:r>
        <w:rPr>
          <w:rFonts w:hint="eastAsia" w:ascii="宋体" w:hAnsi="宋体" w:eastAsia="宋体" w:cs="Times New Roman"/>
          <w:bCs w:val="0"/>
          <w:kern w:val="2"/>
          <w:sz w:val="21"/>
          <w:szCs w:val="24"/>
          <w:lang w:val="en-US" w:eastAsia="zh-CN" w:bidi="ar-SA"/>
        </w:rPr>
        <w:t>3.专家出诊费费用及支付方式（不包含在供应商服务费中）：</w:t>
      </w:r>
      <w:r>
        <w:rPr>
          <w:rFonts w:hint="default" w:ascii="宋体" w:hAnsi="宋体" w:eastAsia="宋体" w:cs="Times New Roman"/>
          <w:bCs w:val="0"/>
          <w:kern w:val="2"/>
          <w:sz w:val="21"/>
          <w:szCs w:val="24"/>
          <w:lang w:val="en-US" w:eastAsia="zh-CN" w:bidi="ar-SA"/>
        </w:rPr>
        <w:t>含专家出诊劳务费、往返交通及食宿费、相关税费</w:t>
      </w:r>
      <w:r>
        <w:rPr>
          <w:rFonts w:hint="eastAsia" w:ascii="宋体" w:hAnsi="宋体" w:eastAsia="宋体" w:cs="Times New Roman"/>
          <w:bCs w:val="0"/>
          <w:kern w:val="2"/>
          <w:sz w:val="21"/>
          <w:szCs w:val="24"/>
          <w:lang w:val="en-US" w:eastAsia="zh-CN" w:bidi="ar-SA"/>
        </w:rPr>
        <w:t>，具体金额以甲乙双方根据实际邀请专家及出诊安排另行协商确定。</w:t>
      </w:r>
    </w:p>
    <w:p w14:paraId="40C70A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bCs w:val="0"/>
          <w:kern w:val="2"/>
          <w:sz w:val="21"/>
          <w:szCs w:val="24"/>
          <w:lang w:val="en-US" w:eastAsia="zh-CN" w:bidi="ar-SA"/>
        </w:rPr>
      </w:pPr>
      <w:r>
        <w:rPr>
          <w:rFonts w:hint="eastAsia" w:ascii="宋体" w:hAnsi="宋体" w:eastAsia="宋体" w:cs="Times New Roman"/>
          <w:bCs w:val="0"/>
          <w:kern w:val="2"/>
          <w:sz w:val="21"/>
          <w:szCs w:val="24"/>
          <w:lang w:val="en-US" w:eastAsia="zh-CN" w:bidi="ar-SA"/>
        </w:rPr>
        <w:t>4.服务交付：30个日历日内完成中心筹建并投入运营。</w:t>
      </w:r>
    </w:p>
    <w:p w14:paraId="65F8BB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Times New Roman"/>
          <w:bCs w:val="0"/>
          <w:kern w:val="2"/>
          <w:sz w:val="21"/>
          <w:szCs w:val="24"/>
          <w:lang w:val="en-US" w:eastAsia="zh-CN" w:bidi="ar-SA"/>
        </w:rPr>
      </w:pPr>
      <w:r>
        <w:rPr>
          <w:rFonts w:hint="eastAsia" w:ascii="宋体" w:hAnsi="宋体" w:eastAsia="宋体" w:cs="Times New Roman"/>
          <w:bCs w:val="0"/>
          <w:kern w:val="2"/>
          <w:sz w:val="21"/>
          <w:szCs w:val="24"/>
          <w:lang w:val="en-US" w:eastAsia="zh-CN" w:bidi="ar-SA"/>
        </w:rPr>
        <w:t>5.保密要求：对患者隐私、医院数据、合同内容永久保密。</w:t>
      </w:r>
    </w:p>
    <w:p w14:paraId="1B2E1C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Times New Roman"/>
          <w:bCs w:val="0"/>
          <w:kern w:val="2"/>
          <w:sz w:val="21"/>
          <w:szCs w:val="24"/>
          <w:lang w:val="en-US" w:eastAsia="zh-CN" w:bidi="ar-SA"/>
        </w:rPr>
      </w:pPr>
      <w:r>
        <w:rPr>
          <w:rFonts w:hint="eastAsia" w:ascii="宋体" w:hAnsi="宋体" w:eastAsia="宋体" w:cs="Times New Roman"/>
          <w:bCs w:val="0"/>
          <w:kern w:val="2"/>
          <w:sz w:val="21"/>
          <w:szCs w:val="24"/>
          <w:lang w:val="en-US" w:eastAsia="zh-CN" w:bidi="ar-SA"/>
        </w:rPr>
        <w:t>6.违约责任：擅自解约按合同总金额20%支付违约金，采购人逾期支付服务费，每日按逾期款项0.5%支付利息；逾期超20日，供应商可暂停服务；逾期超60日，供应商可解除合同，采购人需支付欠付款、利息、合同总服务费20%违约金及供应商实际损失。供应商自身原因逾期提供服务，每日按当期逾期应付款项0.5%支付违约金；逾期超20日，采购人可暂停付款；逾期超60日，采购人可解除合同，供应商需支付合同总服务费20%违约金及采购人实际损失。</w:t>
      </w:r>
    </w:p>
    <w:p w14:paraId="3C64BFD0">
      <w:pPr>
        <w:pStyle w:val="2"/>
        <w:numPr>
          <w:ilvl w:val="4"/>
          <w:numId w:val="0"/>
        </w:numPr>
        <w:ind w:leftChars="0"/>
        <w:rPr>
          <w:rFonts w:hint="eastAsia"/>
          <w:lang w:eastAsia="zh-CN"/>
        </w:rPr>
      </w:pPr>
    </w:p>
    <w:p w14:paraId="6A1B591E"/>
    <w:sectPr>
      <w:footerReference r:id="rId3" w:type="default"/>
      <w:footerReference r:id="rId4" w:type="even"/>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F46B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7023">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47DA4"/>
    <w:multiLevelType w:val="multilevel"/>
    <w:tmpl w:val="19347DA4"/>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pStyle w:val="2"/>
      <w:suff w:val="nothing"/>
      <w:lvlText w:val="%1.%2.%3.%4.%5."/>
      <w:lvlJc w:val="left"/>
      <w:pPr>
        <w:ind w:left="7770" w:firstLine="0"/>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1B5116DA"/>
    <w:multiLevelType w:val="singleLevel"/>
    <w:tmpl w:val="1B5116D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4062F"/>
    <w:rsid w:val="6CC64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numPr>
        <w:ilvl w:val="4"/>
        <w:numId w:val="1"/>
      </w:numPr>
      <w:tabs>
        <w:tab w:val="left" w:pos="210"/>
        <w:tab w:val="left" w:pos="420"/>
        <w:tab w:val="left" w:pos="1008"/>
      </w:tabs>
      <w:spacing w:before="280" w:after="290" w:line="376" w:lineRule="auto"/>
      <w:ind w:left="0" w:firstLine="0"/>
      <w:outlineLvl w:val="4"/>
    </w:pPr>
    <w:rPr>
      <w:rFonts w:eastAsia="宋体"/>
      <w:b/>
      <w:sz w:val="24"/>
      <w:szCs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1374</Words>
  <Characters>1425</Characters>
  <Lines>0</Lines>
  <Paragraphs>0</Paragraphs>
  <TotalTime>0</TotalTime>
  <ScaleCrop>false</ScaleCrop>
  <LinksUpToDate>false</LinksUpToDate>
  <CharactersWithSpaces>1427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2026-04-17T00:42:00Z</dcterms:created>
  <dc:creator>jy</dc:creator>
  <cp:lastModifiedBy>JY</cp:lastModifiedBy>
  <dcterms:modified xsi:type="dcterms:W3CDTF">2026-04-17T00:44:23Z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eyJoZGlkIjoiNDQzMDg4N2U2NTc0ZDNhNTk3NGMyYzdlNjk4NTQ0NTciLCJ1c2VySWQiOiIyNzM2OTQyODMifQ==</vt:lpwstr>
  </property>
  <property fmtid="{D5CDD505-2E9C-101B-9397-08002B2CF9AE}" pid="4" name="ICV">
    <vt:lpwstr>FB7E351877CE4C71BA80EFE06AAE180A_12</vt:lpwstr>
  </property>
</Properties>
</file>