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3ABAC">
      <w:pPr>
        <w:pStyle w:val="2"/>
        <w:keepNext/>
        <w:keepLines/>
        <w:pageBreakBefore w:val="0"/>
        <w:widowControl w:val="0"/>
        <w:kinsoku/>
        <w:wordWrap/>
        <w:overflowPunct/>
        <w:topLinePunct w:val="0"/>
        <w:autoSpaceDE/>
        <w:autoSpaceDN/>
        <w:bidi w:val="0"/>
        <w:adjustRightInd/>
        <w:snapToGrid/>
        <w:spacing w:before="260" w:after="260" w:line="360" w:lineRule="auto"/>
        <w:jc w:val="center"/>
        <w:textAlignment w:val="auto"/>
        <w:rPr>
          <w:rFonts w:hint="eastAsia" w:ascii="宋体" w:hAnsi="宋体" w:eastAsia="宋体" w:cs="宋体"/>
          <w:color w:val="000000"/>
          <w:sz w:val="31"/>
          <w:szCs w:val="31"/>
          <w:highlight w:val="none"/>
        </w:rPr>
      </w:pPr>
      <w:bookmarkStart w:id="0" w:name="_Toc24211"/>
      <w:bookmarkStart w:id="1" w:name="_Toc15840"/>
      <w:bookmarkStart w:id="2" w:name="_Toc14479"/>
      <w:r>
        <w:rPr>
          <w:rFonts w:hint="eastAsia" w:ascii="宋体" w:hAnsi="宋体" w:eastAsia="宋体" w:cs="宋体"/>
          <w:b/>
          <w:bCs/>
          <w:color w:val="000000"/>
          <w:kern w:val="44"/>
          <w:sz w:val="28"/>
          <w:szCs w:val="28"/>
          <w:highlight w:val="none"/>
          <w:lang w:val="en-US" w:eastAsia="zh-CN" w:bidi="en-US"/>
        </w:rPr>
        <w:t>二、技术要求</w:t>
      </w:r>
      <w:bookmarkEnd w:id="0"/>
      <w:bookmarkEnd w:id="1"/>
      <w:bookmarkEnd w:id="2"/>
    </w:p>
    <w:p w14:paraId="14016762">
      <w:pPr>
        <w:tabs>
          <w:tab w:val="left" w:pos="1463"/>
        </w:tabs>
        <w:bidi w:val="0"/>
        <w:jc w:val="left"/>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1、产品技术要求</w:t>
      </w:r>
    </w:p>
    <w:tbl>
      <w:tblPr>
        <w:tblStyle w:val="7"/>
        <w:tblpPr w:leftFromText="180" w:rightFromText="180" w:vertAnchor="text" w:horzAnchor="page" w:tblpXSpec="center" w:tblpY="292"/>
        <w:tblOverlap w:val="never"/>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16"/>
        <w:gridCol w:w="1536"/>
        <w:gridCol w:w="614"/>
        <w:gridCol w:w="2407"/>
        <w:gridCol w:w="1116"/>
        <w:gridCol w:w="1816"/>
        <w:gridCol w:w="417"/>
      </w:tblGrid>
      <w:tr w14:paraId="1426F5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3" w:hRule="atLeast"/>
          <w:jc w:val="center"/>
        </w:trPr>
        <w:tc>
          <w:tcPr>
            <w:tcW w:w="331" w:type="pct"/>
            <w:tcBorders>
              <w:bottom w:val="single" w:color="000000" w:sz="4" w:space="0"/>
              <w:right w:val="single" w:color="000000" w:sz="4" w:space="0"/>
            </w:tcBorders>
            <w:noWrap/>
            <w:vAlign w:val="center"/>
          </w:tcPr>
          <w:p w14:paraId="77AAE3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产品序号</w:t>
            </w:r>
          </w:p>
        </w:tc>
        <w:tc>
          <w:tcPr>
            <w:tcW w:w="805" w:type="pct"/>
            <w:tcBorders>
              <w:left w:val="single" w:color="000000" w:sz="4" w:space="0"/>
              <w:bottom w:val="single" w:color="000000" w:sz="4" w:space="0"/>
              <w:right w:val="single" w:color="000000" w:sz="4" w:space="0"/>
            </w:tcBorders>
            <w:noWrap/>
            <w:vAlign w:val="center"/>
          </w:tcPr>
          <w:p w14:paraId="12EE60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229" w:type="pct"/>
            <w:tcBorders>
              <w:left w:val="single" w:color="000000" w:sz="4" w:space="0"/>
              <w:bottom w:val="single" w:color="000000" w:sz="4" w:space="0"/>
            </w:tcBorders>
            <w:noWrap/>
            <w:vAlign w:val="center"/>
          </w:tcPr>
          <w:p w14:paraId="256D5E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lang w:eastAsia="zh-CN"/>
              </w:rPr>
            </w:pPr>
            <w:r>
              <w:rPr>
                <w:rFonts w:hint="eastAsia" w:ascii="宋体" w:hAnsi="宋体" w:eastAsia="宋体" w:cs="宋体"/>
                <w:b/>
                <w:bCs/>
                <w:i w:val="0"/>
                <w:iCs w:val="0"/>
                <w:color w:val="000000"/>
                <w:sz w:val="24"/>
                <w:szCs w:val="24"/>
                <w:u w:val="none"/>
                <w:lang w:eastAsia="zh-CN"/>
              </w:rPr>
              <w:t>单位</w:t>
            </w:r>
          </w:p>
        </w:tc>
        <w:tc>
          <w:tcPr>
            <w:tcW w:w="1049" w:type="pct"/>
            <w:tcBorders>
              <w:left w:val="single" w:color="000000" w:sz="4" w:space="0"/>
              <w:bottom w:val="single" w:color="000000" w:sz="4" w:space="0"/>
            </w:tcBorders>
            <w:noWrap/>
            <w:vAlign w:val="center"/>
          </w:tcPr>
          <w:p w14:paraId="1C81FE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lang w:eastAsia="zh-CN"/>
              </w:rPr>
            </w:pPr>
            <w:r>
              <w:rPr>
                <w:rFonts w:hint="eastAsia" w:ascii="宋体" w:hAnsi="宋体" w:eastAsia="宋体" w:cs="宋体"/>
                <w:b/>
                <w:bCs/>
                <w:i w:val="0"/>
                <w:iCs w:val="0"/>
                <w:color w:val="000000"/>
                <w:sz w:val="24"/>
                <w:szCs w:val="24"/>
                <w:u w:val="none"/>
                <w:lang w:eastAsia="zh-CN"/>
              </w:rPr>
              <w:t>技术要求</w:t>
            </w:r>
          </w:p>
        </w:tc>
        <w:tc>
          <w:tcPr>
            <w:tcW w:w="587" w:type="pct"/>
            <w:tcBorders>
              <w:left w:val="single" w:color="000000" w:sz="4" w:space="0"/>
              <w:bottom w:val="single" w:color="000000" w:sz="4" w:space="0"/>
            </w:tcBorders>
            <w:noWrap/>
            <w:vAlign w:val="center"/>
          </w:tcPr>
          <w:p w14:paraId="1B7A77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lang w:val="en-US" w:eastAsia="zh-CN" w:bidi="en-US"/>
              </w:rPr>
            </w:pPr>
            <w:r>
              <w:rPr>
                <w:rFonts w:hint="eastAsia" w:ascii="宋体" w:hAnsi="宋体" w:eastAsia="宋体" w:cs="宋体"/>
                <w:b/>
                <w:bCs/>
                <w:i w:val="0"/>
                <w:iCs w:val="0"/>
                <w:color w:val="000000"/>
                <w:sz w:val="24"/>
                <w:szCs w:val="24"/>
                <w:u w:val="none"/>
                <w:lang w:eastAsia="zh-CN"/>
              </w:rPr>
              <w:t>采购最高限价（元）</w:t>
            </w:r>
          </w:p>
        </w:tc>
        <w:tc>
          <w:tcPr>
            <w:tcW w:w="946" w:type="pct"/>
            <w:tcBorders>
              <w:left w:val="single" w:color="000000" w:sz="4" w:space="0"/>
              <w:bottom w:val="single" w:color="000000" w:sz="4" w:space="0"/>
            </w:tcBorders>
            <w:noWrap/>
            <w:vAlign w:val="center"/>
          </w:tcPr>
          <w:p w14:paraId="6DDDAD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lang w:val="en-US" w:eastAsia="zh-CN" w:bidi="en-US"/>
              </w:rPr>
            </w:pPr>
            <w:r>
              <w:rPr>
                <w:rFonts w:hint="eastAsia" w:ascii="宋体" w:hAnsi="宋体" w:eastAsia="宋体" w:cs="宋体"/>
                <w:b/>
                <w:bCs/>
                <w:i w:val="0"/>
                <w:iCs w:val="0"/>
                <w:color w:val="000000"/>
                <w:sz w:val="24"/>
                <w:szCs w:val="24"/>
                <w:u w:val="none"/>
                <w:lang w:val="en-US" w:eastAsia="zh-CN"/>
              </w:rPr>
              <w:t>采购量（三年采购期内预计采购量）</w:t>
            </w:r>
          </w:p>
        </w:tc>
        <w:tc>
          <w:tcPr>
            <w:tcW w:w="1049" w:type="pct"/>
            <w:tcBorders>
              <w:left w:val="single" w:color="000000" w:sz="4" w:space="0"/>
              <w:bottom w:val="single" w:color="000000" w:sz="4" w:space="0"/>
            </w:tcBorders>
            <w:noWrap/>
            <w:vAlign w:val="center"/>
          </w:tcPr>
          <w:p w14:paraId="5F5D8D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iCs w:val="0"/>
                <w:color w:val="000000"/>
                <w:sz w:val="24"/>
                <w:szCs w:val="24"/>
                <w:u w:val="none"/>
                <w:lang w:val="en-US" w:eastAsia="zh-CN" w:bidi="en-US"/>
              </w:rPr>
            </w:pPr>
            <w:r>
              <w:rPr>
                <w:rFonts w:hint="eastAsia" w:ascii="宋体" w:hAnsi="宋体" w:eastAsia="宋体" w:cs="宋体"/>
                <w:b/>
                <w:bCs/>
                <w:i w:val="0"/>
                <w:iCs w:val="0"/>
                <w:color w:val="000000"/>
                <w:sz w:val="24"/>
                <w:szCs w:val="24"/>
                <w:u w:val="none"/>
                <w:lang w:val="en-US" w:eastAsia="zh-CN" w:bidi="en-US"/>
              </w:rPr>
              <w:t>备注</w:t>
            </w:r>
          </w:p>
        </w:tc>
      </w:tr>
      <w:tr w14:paraId="2526DB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331" w:type="pct"/>
            <w:tcBorders>
              <w:top w:val="single" w:color="000000" w:sz="4" w:space="0"/>
              <w:bottom w:val="single" w:color="000000" w:sz="4" w:space="0"/>
              <w:right w:val="single" w:color="000000" w:sz="4" w:space="0"/>
            </w:tcBorders>
            <w:noWrap/>
            <w:vAlign w:val="center"/>
          </w:tcPr>
          <w:p w14:paraId="36369F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2DA908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造口护理用品(C型弹力胶贴 )</w:t>
            </w:r>
          </w:p>
        </w:tc>
        <w:tc>
          <w:tcPr>
            <w:tcW w:w="229" w:type="pct"/>
            <w:tcBorders>
              <w:top w:val="single" w:color="000000" w:sz="4" w:space="0"/>
              <w:left w:val="single" w:color="000000" w:sz="4" w:space="0"/>
              <w:bottom w:val="single" w:color="000000" w:sz="4" w:space="0"/>
            </w:tcBorders>
            <w:noWrap/>
            <w:vAlign w:val="center"/>
          </w:tcPr>
          <w:p w14:paraId="261CB7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卷/片/张</w:t>
            </w:r>
          </w:p>
        </w:tc>
        <w:tc>
          <w:tcPr>
            <w:tcW w:w="1049" w:type="pct"/>
            <w:tcBorders>
              <w:top w:val="single" w:color="000000" w:sz="4" w:space="0"/>
              <w:left w:val="single" w:color="000000" w:sz="4" w:space="0"/>
              <w:bottom w:val="single" w:color="000000" w:sz="4" w:space="0"/>
            </w:tcBorders>
            <w:noWrap/>
            <w:vAlign w:val="center"/>
          </w:tcPr>
          <w:p w14:paraId="519B81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形状为C型，具有一定张力，固定造口底盘周围。</w:t>
            </w:r>
          </w:p>
        </w:tc>
        <w:tc>
          <w:tcPr>
            <w:tcW w:w="587" w:type="pct"/>
            <w:tcBorders>
              <w:top w:val="single" w:color="000000" w:sz="4" w:space="0"/>
              <w:left w:val="single" w:color="000000" w:sz="4" w:space="0"/>
              <w:bottom w:val="single" w:color="000000" w:sz="4" w:space="0"/>
            </w:tcBorders>
            <w:noWrap/>
            <w:vAlign w:val="center"/>
          </w:tcPr>
          <w:p w14:paraId="3CF99C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19.51</w:t>
            </w:r>
          </w:p>
        </w:tc>
        <w:tc>
          <w:tcPr>
            <w:tcW w:w="946" w:type="pct"/>
            <w:tcBorders>
              <w:top w:val="single" w:color="000000" w:sz="4" w:space="0"/>
              <w:left w:val="single" w:color="000000" w:sz="4" w:space="0"/>
              <w:bottom w:val="single" w:color="000000" w:sz="4" w:space="0"/>
            </w:tcBorders>
            <w:noWrap/>
            <w:vAlign w:val="center"/>
          </w:tcPr>
          <w:p w14:paraId="1F198B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w:t>
            </w:r>
          </w:p>
        </w:tc>
        <w:tc>
          <w:tcPr>
            <w:tcW w:w="1049" w:type="pct"/>
            <w:tcBorders>
              <w:top w:val="single" w:color="000000" w:sz="4" w:space="0"/>
              <w:left w:val="single" w:color="000000" w:sz="4" w:space="0"/>
              <w:bottom w:val="single" w:color="000000" w:sz="4" w:space="0"/>
            </w:tcBorders>
            <w:noWrap/>
            <w:vAlign w:val="center"/>
          </w:tcPr>
          <w:p w14:paraId="384765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3462CEFC">
      <w:pPr>
        <w:keepNext w:val="0"/>
        <w:keepLines w:val="0"/>
        <w:pageBreakBefore w:val="0"/>
        <w:widowControl/>
        <w:kinsoku w:val="0"/>
        <w:wordWrap/>
        <w:overflowPunct/>
        <w:topLinePunct w:val="0"/>
        <w:autoSpaceDE w:val="0"/>
        <w:autoSpaceDN w:val="0"/>
        <w:bidi w:val="0"/>
        <w:adjustRightInd w:val="0"/>
        <w:snapToGrid w:val="0"/>
        <w:spacing w:line="460" w:lineRule="exact"/>
        <w:ind w:firstLine="482" w:firstLineChars="200"/>
        <w:jc w:val="left"/>
        <w:textAlignment w:val="baseline"/>
        <w:rPr>
          <w:rFonts w:hint="eastAsia" w:ascii="Times New Roman" w:hAnsi="Times New Roman" w:eastAsia="宋体" w:cs="Times New Roman"/>
          <w:b/>
          <w:bCs/>
          <w:sz w:val="24"/>
          <w:szCs w:val="24"/>
          <w:lang w:val="en-US" w:eastAsia="zh-CN"/>
        </w:rPr>
      </w:pPr>
    </w:p>
    <w:p w14:paraId="705F3954">
      <w:pPr>
        <w:keepNext w:val="0"/>
        <w:keepLines w:val="0"/>
        <w:pageBreakBefore w:val="0"/>
        <w:widowControl/>
        <w:kinsoku w:val="0"/>
        <w:wordWrap/>
        <w:overflowPunct/>
        <w:topLinePunct w:val="0"/>
        <w:autoSpaceDE w:val="0"/>
        <w:autoSpaceDN w:val="0"/>
        <w:bidi w:val="0"/>
        <w:adjustRightInd w:val="0"/>
        <w:snapToGrid w:val="0"/>
        <w:spacing w:line="460" w:lineRule="exact"/>
        <w:ind w:firstLine="482" w:firstLineChars="200"/>
        <w:jc w:val="left"/>
        <w:textAlignment w:val="baseline"/>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本项目需提供样品。</w:t>
      </w:r>
      <w:r>
        <w:rPr>
          <w:rFonts w:hint="default" w:ascii="Times New Roman" w:hAnsi="Times New Roman" w:eastAsia="宋体" w:cs="Times New Roman"/>
          <w:b/>
          <w:bCs/>
          <w:sz w:val="24"/>
          <w:szCs w:val="24"/>
          <w:lang w:val="en-US" w:eastAsia="zh-CN"/>
        </w:rPr>
        <w:t>制造商及产品质量符合性评审：评分低于80分（＜80分），则视为符合性审查不通过。具体评审标准如下：</w:t>
      </w:r>
    </w:p>
    <w:tbl>
      <w:tblPr>
        <w:tblStyle w:val="9"/>
        <w:tblW w:w="501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166"/>
        <w:gridCol w:w="1186"/>
      </w:tblGrid>
      <w:tr w14:paraId="197AA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6" w:hRule="atLeast"/>
        </w:trPr>
        <w:tc>
          <w:tcPr>
            <w:tcW w:w="4289" w:type="pct"/>
            <w:noWrap w:val="0"/>
            <w:vAlign w:val="center"/>
          </w:tcPr>
          <w:p w14:paraId="0F8E80DE">
            <w:pPr>
              <w:pStyle w:val="3"/>
              <w:pageBreakBefore w:val="0"/>
              <w:wordWrap/>
              <w:overflowPunct/>
              <w:topLinePunct w:val="0"/>
              <w:bidi w:val="0"/>
              <w:spacing w:line="460" w:lineRule="exact"/>
              <w:ind w:left="0" w:leftChars="0" w:firstLine="0" w:firstLineChars="0"/>
              <w:jc w:val="center"/>
              <w:rPr>
                <w:rFonts w:hint="default" w:ascii="Times New Roman" w:hAnsi="Times New Roman" w:eastAsia="宋体" w:cs="Times New Roman"/>
                <w:b/>
                <w:bCs/>
                <w:snapToGrid w:val="0"/>
                <w:color w:val="000000"/>
                <w:spacing w:val="0"/>
                <w:kern w:val="0"/>
                <w:sz w:val="24"/>
                <w:szCs w:val="24"/>
                <w:lang w:val="en-US" w:eastAsia="zh-CN" w:bidi="ar-SA"/>
              </w:rPr>
            </w:pPr>
            <w:r>
              <w:rPr>
                <w:rFonts w:hint="default" w:ascii="Times New Roman" w:hAnsi="Times New Roman" w:eastAsia="宋体" w:cs="Times New Roman"/>
                <w:b/>
                <w:bCs/>
                <w:snapToGrid w:val="0"/>
                <w:color w:val="000000"/>
                <w:spacing w:val="0"/>
                <w:kern w:val="0"/>
                <w:sz w:val="24"/>
                <w:szCs w:val="24"/>
                <w:lang w:val="en-US" w:eastAsia="zh-CN" w:bidi="ar-SA"/>
              </w:rPr>
              <w:t>评审标准</w:t>
            </w:r>
          </w:p>
        </w:tc>
        <w:tc>
          <w:tcPr>
            <w:tcW w:w="710" w:type="pct"/>
            <w:noWrap w:val="0"/>
            <w:vAlign w:val="center"/>
          </w:tcPr>
          <w:p w14:paraId="01980EB0">
            <w:pPr>
              <w:pStyle w:val="3"/>
              <w:pageBreakBefore w:val="0"/>
              <w:wordWrap/>
              <w:overflowPunct/>
              <w:topLinePunct w:val="0"/>
              <w:bidi w:val="0"/>
              <w:spacing w:line="460" w:lineRule="exact"/>
              <w:ind w:left="0" w:leftChars="0" w:firstLine="0" w:firstLineChars="0"/>
              <w:jc w:val="center"/>
              <w:rPr>
                <w:rFonts w:hint="default" w:ascii="Times New Roman" w:hAnsi="Times New Roman" w:eastAsia="宋体" w:cs="Times New Roman"/>
                <w:b/>
                <w:bCs/>
                <w:snapToGrid w:val="0"/>
                <w:color w:val="000000"/>
                <w:spacing w:val="0"/>
                <w:kern w:val="0"/>
                <w:sz w:val="24"/>
                <w:szCs w:val="24"/>
                <w:lang w:val="en-US" w:eastAsia="zh-CN" w:bidi="ar-SA"/>
              </w:rPr>
            </w:pPr>
            <w:r>
              <w:rPr>
                <w:rFonts w:hint="default" w:ascii="Times New Roman" w:hAnsi="Times New Roman" w:eastAsia="宋体" w:cs="Times New Roman"/>
                <w:b/>
                <w:bCs/>
                <w:snapToGrid w:val="0"/>
                <w:color w:val="000000"/>
                <w:spacing w:val="0"/>
                <w:kern w:val="0"/>
                <w:sz w:val="24"/>
                <w:szCs w:val="24"/>
                <w:lang w:val="en-US" w:eastAsia="zh-CN" w:bidi="ar-SA"/>
              </w:rPr>
              <w:t>分值</w:t>
            </w:r>
          </w:p>
        </w:tc>
      </w:tr>
      <w:tr w14:paraId="0D942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1" w:hRule="atLeast"/>
        </w:trPr>
        <w:tc>
          <w:tcPr>
            <w:tcW w:w="4289" w:type="pct"/>
            <w:noWrap w:val="0"/>
            <w:vAlign w:val="center"/>
          </w:tcPr>
          <w:p w14:paraId="103F747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jc w:val="left"/>
              <w:textAlignment w:val="center"/>
              <w:rPr>
                <w:rFonts w:hint="default" w:ascii="Times New Roman" w:hAnsi="Times New Roman" w:eastAsia="宋体" w:cs="Times New Roman"/>
                <w:snapToGrid w:val="0"/>
                <w:color w:val="000000"/>
                <w:spacing w:val="0"/>
                <w:kern w:val="0"/>
                <w:sz w:val="24"/>
                <w:szCs w:val="24"/>
                <w:lang w:val="en-US" w:eastAsia="zh-CN" w:bidi="ar-SA"/>
              </w:rPr>
            </w:pPr>
            <w:r>
              <w:rPr>
                <w:rFonts w:hint="default" w:ascii="Times New Roman" w:hAnsi="Times New Roman" w:eastAsia="宋体" w:cs="Times New Roman"/>
                <w:snapToGrid w:val="0"/>
                <w:spacing w:val="0"/>
                <w:kern w:val="0"/>
                <w:sz w:val="24"/>
                <w:szCs w:val="24"/>
                <w:lang w:eastAsia="zh-CN" w:bidi="ar-SA"/>
              </w:rPr>
              <w:t>样品：由评标专家现场对货物样品的手感、感观效果、制作质量、工艺水 平等进行综合评价。</w:t>
            </w:r>
          </w:p>
          <w:p w14:paraId="6940B0DB">
            <w:pPr>
              <w:pStyle w:val="3"/>
              <w:pageBreakBefore w:val="0"/>
              <w:wordWrap/>
              <w:overflowPunct/>
              <w:topLinePunct w:val="0"/>
              <w:bidi w:val="0"/>
              <w:spacing w:line="460" w:lineRule="exact"/>
              <w:ind w:left="0" w:leftChars="0" w:firstLine="0" w:firstLineChars="0"/>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color w:val="000000"/>
                <w:kern w:val="0"/>
                <w:sz w:val="24"/>
                <w:szCs w:val="24"/>
                <w:lang w:val="en-US" w:eastAsia="zh-CN" w:bidi="en-US"/>
              </w:rPr>
              <w:t>(注：不同类型产品需分别提供样品，不同规格的同一类型产品，提供一个常用型号规格即可。所有样品需在外包装上注明投标单位，样品需密封，在开标时</w:t>
            </w:r>
            <w:r>
              <w:rPr>
                <w:rFonts w:hint="eastAsia" w:ascii="Times New Roman" w:hAnsi="Times New Roman" w:eastAsia="宋体" w:cs="Times New Roman"/>
                <w:b/>
                <w:bCs/>
                <w:color w:val="000000"/>
                <w:kern w:val="0"/>
                <w:sz w:val="24"/>
                <w:szCs w:val="24"/>
                <w:lang w:val="en-US" w:eastAsia="zh-CN" w:bidi="en-US"/>
              </w:rPr>
              <w:t>随标书一同</w:t>
            </w:r>
            <w:r>
              <w:rPr>
                <w:rFonts w:hint="default" w:ascii="Times New Roman" w:hAnsi="Times New Roman" w:eastAsia="宋体" w:cs="Times New Roman"/>
                <w:b/>
                <w:bCs/>
                <w:color w:val="000000"/>
                <w:kern w:val="0"/>
                <w:sz w:val="24"/>
                <w:szCs w:val="24"/>
                <w:lang w:val="en-US" w:eastAsia="zh-CN" w:bidi="en-US"/>
              </w:rPr>
              <w:t>提交</w:t>
            </w:r>
            <w:r>
              <w:rPr>
                <w:rFonts w:hint="eastAsia" w:ascii="Times New Roman" w:hAnsi="Times New Roman" w:eastAsia="宋体" w:cs="Times New Roman"/>
                <w:b/>
                <w:bCs/>
                <w:color w:val="000000"/>
                <w:kern w:val="0"/>
                <w:sz w:val="24"/>
                <w:szCs w:val="24"/>
                <w:lang w:val="en-US" w:eastAsia="zh-CN" w:bidi="en-US"/>
              </w:rPr>
              <w:t>。</w:t>
            </w:r>
            <w:r>
              <w:rPr>
                <w:rFonts w:hint="default" w:ascii="Times New Roman" w:hAnsi="Times New Roman" w:eastAsia="宋体" w:cs="Times New Roman"/>
                <w:b/>
                <w:bCs/>
                <w:color w:val="000000"/>
                <w:kern w:val="0"/>
                <w:sz w:val="24"/>
                <w:szCs w:val="24"/>
                <w:lang w:val="en-US" w:eastAsia="zh-CN" w:bidi="en-US"/>
              </w:rPr>
              <w:t>样品在结果公示期结束后一周内，</w:t>
            </w:r>
            <w:r>
              <w:rPr>
                <w:rFonts w:hint="eastAsia" w:ascii="Times New Roman" w:hAnsi="Times New Roman" w:eastAsia="宋体" w:cs="Times New Roman"/>
                <w:b/>
                <w:bCs/>
                <w:color w:val="000000"/>
                <w:kern w:val="0"/>
                <w:sz w:val="24"/>
                <w:szCs w:val="24"/>
                <w:lang w:val="en-US" w:eastAsia="zh-CN" w:bidi="en-US"/>
              </w:rPr>
              <w:t>可</w:t>
            </w:r>
            <w:r>
              <w:rPr>
                <w:rFonts w:hint="default" w:ascii="Times New Roman" w:hAnsi="Times New Roman" w:eastAsia="宋体" w:cs="Times New Roman"/>
                <w:b/>
                <w:bCs/>
                <w:color w:val="000000"/>
                <w:kern w:val="0"/>
                <w:sz w:val="24"/>
                <w:szCs w:val="24"/>
                <w:lang w:val="en-US" w:eastAsia="zh-CN" w:bidi="en-US"/>
              </w:rPr>
              <w:t>取回，逾期取回导致的样品丢失等后果，由投标人自行承担。</w:t>
            </w:r>
            <w:r>
              <w:rPr>
                <w:rFonts w:hint="eastAsia" w:ascii="Times New Roman" w:hAnsi="Times New Roman" w:eastAsia="宋体" w:cs="Times New Roman"/>
                <w:b/>
                <w:bCs/>
                <w:color w:val="000000"/>
                <w:kern w:val="0"/>
                <w:sz w:val="24"/>
                <w:szCs w:val="24"/>
                <w:lang w:val="en-US" w:eastAsia="zh-CN" w:bidi="en-US"/>
              </w:rPr>
              <w:t>）</w:t>
            </w:r>
          </w:p>
        </w:tc>
        <w:tc>
          <w:tcPr>
            <w:tcW w:w="710" w:type="pct"/>
            <w:noWrap w:val="0"/>
            <w:vAlign w:val="center"/>
          </w:tcPr>
          <w:p w14:paraId="560FEE16">
            <w:pPr>
              <w:pStyle w:val="3"/>
              <w:pageBreakBefore w:val="0"/>
              <w:wordWrap/>
              <w:overflowPunct/>
              <w:topLinePunct w:val="0"/>
              <w:bidi w:val="0"/>
              <w:spacing w:line="460" w:lineRule="exact"/>
              <w:ind w:left="0" w:leftChars="0" w:firstLine="0" w:firstLineChars="0"/>
              <w:jc w:val="center"/>
              <w:rPr>
                <w:rFonts w:hint="default" w:ascii="Times New Roman" w:hAnsi="Times New Roman" w:eastAsia="宋体" w:cs="Times New Roman"/>
                <w:b/>
                <w:bCs/>
                <w:snapToGrid w:val="0"/>
                <w:color w:val="000000"/>
                <w:spacing w:val="0"/>
                <w:kern w:val="0"/>
                <w:sz w:val="24"/>
                <w:szCs w:val="24"/>
                <w:lang w:val="en-US" w:eastAsia="zh-CN" w:bidi="ar-SA"/>
              </w:rPr>
            </w:pPr>
            <w:r>
              <w:rPr>
                <w:rFonts w:hint="default" w:ascii="Times New Roman" w:hAnsi="Times New Roman" w:eastAsia="宋体" w:cs="Times New Roman"/>
                <w:b/>
                <w:bCs/>
                <w:snapToGrid w:val="0"/>
                <w:color w:val="000000"/>
                <w:spacing w:val="0"/>
                <w:kern w:val="0"/>
                <w:sz w:val="24"/>
                <w:szCs w:val="24"/>
                <w:lang w:val="en-US" w:eastAsia="zh-CN" w:bidi="ar-SA"/>
              </w:rPr>
              <w:t>0-100分</w:t>
            </w:r>
          </w:p>
        </w:tc>
      </w:tr>
    </w:tbl>
    <w:p w14:paraId="4B1E3115">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Times New Roman" w:hAnsi="Times New Roman" w:eastAsia="宋体" w:cs="Times New Roman"/>
          <w:b/>
          <w:bCs/>
          <w:sz w:val="24"/>
          <w:szCs w:val="24"/>
          <w:lang w:val="en-US" w:eastAsia="zh-CN"/>
        </w:rPr>
      </w:pPr>
    </w:p>
    <w:p w14:paraId="76ECCEBD">
      <w:pPr>
        <w:keepNext w:val="0"/>
        <w:keepLines w:val="0"/>
        <w:pageBreakBefore w:val="0"/>
        <w:widowControl/>
        <w:kinsoku w:val="0"/>
        <w:wordWrap/>
        <w:overflowPunct/>
        <w:topLinePunct w:val="0"/>
        <w:autoSpaceDE w:val="0"/>
        <w:autoSpaceDN w:val="0"/>
        <w:bidi w:val="0"/>
        <w:adjustRightInd w:val="0"/>
        <w:snapToGrid w:val="0"/>
        <w:spacing w:line="460" w:lineRule="exact"/>
        <w:ind w:firstLine="482" w:firstLineChars="200"/>
        <w:jc w:val="left"/>
        <w:textAlignment w:val="baseline"/>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（如有满足要求的多个型号可提供，需按照统一单价进行报价，具体规格型号可在分项报价表中注明，并需按照最小包装价报出对应盒、瓶（桶）装价）</w:t>
      </w:r>
    </w:p>
    <w:p w14:paraId="2312F1D6">
      <w:pPr>
        <w:bidi w:val="0"/>
        <w:rPr>
          <w:rFonts w:hint="eastAsia" w:ascii="宋体" w:hAnsi="宋体" w:eastAsia="宋体" w:cs="宋体"/>
          <w:b/>
          <w:bCs/>
          <w:color w:val="000000"/>
          <w:highlight w:val="none"/>
          <w:lang w:val="en-US" w:eastAsia="zh-CN"/>
        </w:rPr>
      </w:pPr>
    </w:p>
    <w:p w14:paraId="618C3501">
      <w:pPr>
        <w:bidi w:val="0"/>
        <w:rPr>
          <w:rFonts w:hint="eastAsia" w:ascii="宋体" w:hAnsi="宋体" w:eastAsia="宋体" w:cs="宋体"/>
          <w:b/>
          <w:bCs/>
          <w:color w:val="000000"/>
          <w:highlight w:val="none"/>
          <w:lang w:val="en-US" w:eastAsia="zh-CN"/>
        </w:rPr>
      </w:pPr>
    </w:p>
    <w:p w14:paraId="1DF20772">
      <w:pPr>
        <w:pStyle w:val="2"/>
        <w:rPr>
          <w:rFonts w:hint="eastAsia"/>
          <w:lang w:val="en-US" w:eastAsia="zh-CN"/>
        </w:rPr>
      </w:pPr>
    </w:p>
    <w:p w14:paraId="4DC89AAF">
      <w:pPr>
        <w:pStyle w:val="2"/>
        <w:keepNext/>
        <w:keepLines/>
        <w:pageBreakBefore w:val="0"/>
        <w:widowControl w:val="0"/>
        <w:numPr>
          <w:ilvl w:val="0"/>
          <w:numId w:val="1"/>
        </w:numPr>
        <w:kinsoku/>
        <w:wordWrap/>
        <w:overflowPunct/>
        <w:topLinePunct w:val="0"/>
        <w:autoSpaceDE/>
        <w:autoSpaceDN/>
        <w:bidi w:val="0"/>
        <w:adjustRightInd/>
        <w:snapToGrid/>
        <w:spacing w:before="260" w:after="260" w:line="360" w:lineRule="auto"/>
        <w:jc w:val="center"/>
        <w:textAlignment w:val="auto"/>
        <w:rPr>
          <w:rFonts w:hint="eastAsia" w:ascii="宋体" w:hAnsi="宋体" w:eastAsia="宋体" w:cs="宋体"/>
          <w:b/>
          <w:bCs/>
          <w:color w:val="000000"/>
          <w:kern w:val="44"/>
          <w:sz w:val="28"/>
          <w:szCs w:val="28"/>
          <w:highlight w:val="none"/>
          <w:lang w:val="en-US" w:eastAsia="zh-CN"/>
        </w:rPr>
      </w:pPr>
      <w:bookmarkStart w:id="3" w:name="_Toc30681"/>
      <w:bookmarkStart w:id="4" w:name="_Toc4145"/>
      <w:bookmarkStart w:id="5" w:name="_Toc18231"/>
      <w:r>
        <w:rPr>
          <w:rFonts w:hint="eastAsia" w:ascii="宋体" w:hAnsi="宋体" w:eastAsia="宋体" w:cs="宋体"/>
          <w:b/>
          <w:bCs/>
          <w:color w:val="000000"/>
          <w:kern w:val="44"/>
          <w:sz w:val="28"/>
          <w:szCs w:val="28"/>
          <w:highlight w:val="none"/>
          <w:lang w:val="en-US" w:eastAsia="zh-CN"/>
        </w:rPr>
        <w:t>商务要求</w:t>
      </w:r>
      <w:bookmarkEnd w:id="3"/>
      <w:bookmarkEnd w:id="4"/>
      <w:bookmarkEnd w:id="5"/>
    </w:p>
    <w:p w14:paraId="51EEB9A6">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sz w:val="24"/>
          <w:szCs w:val="24"/>
          <w:highlight w:val="none"/>
        </w:rPr>
      </w:pPr>
      <w:r>
        <w:rPr>
          <w:rFonts w:hint="eastAsia" w:ascii="宋体" w:hAnsi="宋体" w:eastAsia="宋体" w:cs="宋体"/>
          <w:i w:val="0"/>
          <w:iCs/>
          <w:sz w:val="24"/>
          <w:szCs w:val="24"/>
          <w:u w:val="none"/>
        </w:rPr>
        <w:t>付款</w:t>
      </w:r>
      <w:r>
        <w:rPr>
          <w:rFonts w:hint="eastAsia" w:ascii="宋体" w:hAnsi="宋体" w:eastAsia="宋体" w:cs="宋体"/>
          <w:b w:val="0"/>
          <w:bCs/>
          <w:sz w:val="24"/>
          <w:szCs w:val="24"/>
          <w:highlight w:val="none"/>
        </w:rPr>
        <w:t>方式：</w:t>
      </w:r>
    </w:p>
    <w:p w14:paraId="5484184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1、本合同价格为</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入库价，已包含所有费用（含产品费、运输费、装卸费以及各项适用的税金，及需要向其他方支付的有关专利权、版权、设计或其他知识产权等全部费用）。</w:t>
      </w:r>
    </w:p>
    <w:p w14:paraId="0804BF4F">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本项目所有数量为预估数量，最终结算金额以实际发生数量为准。</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正常供货且无质量等争议的情况下，方可执行付款。所供产品按实际采购金额结算后，由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向</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提供全额增值税普通发票，</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凭发票等票据办理付款手续。</w:t>
      </w:r>
    </w:p>
    <w:p w14:paraId="4D075844">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2.交货期：</w:t>
      </w:r>
      <w:r>
        <w:rPr>
          <w:rFonts w:hint="eastAsia" w:ascii="宋体" w:hAnsi="宋体" w:eastAsia="宋体" w:cs="宋体"/>
          <w:sz w:val="24"/>
          <w:szCs w:val="24"/>
          <w:highlight w:val="none"/>
        </w:rPr>
        <w:t>所有货物按医院计划交货，在收到用户提交的计划采购清单后7个工作日内交货到指定的地点，并承担全部运输费用。如因乙方逾期供货给甲方临床医疗工作造成不良影响或者后果时，甲方可终止与乙方的所有供货业务关系。</w:t>
      </w:r>
    </w:p>
    <w:p w14:paraId="0BA171F2">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3.交货地点：</w:t>
      </w:r>
      <w:r>
        <w:rPr>
          <w:rFonts w:hint="eastAsia" w:ascii="宋体" w:hAnsi="宋体" w:eastAsia="宋体" w:cs="宋体"/>
          <w:sz w:val="24"/>
          <w:szCs w:val="24"/>
          <w:highlight w:val="none"/>
          <w:lang w:eastAsia="zh-CN"/>
        </w:rPr>
        <w:t>采购人指定地点。</w:t>
      </w:r>
    </w:p>
    <w:p w14:paraId="1A4CD08D">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4.合同时间：自合同签订之日起  3  年内，根据采购人要求完成供货及交付。 本项目供货期三年，合同结束时间以供货期或完成合同采购金额时间先到为准。从合同签订日期算起按实际采购金额结算。 在合同期间，由于集采等国家相关政策调整，无法按本合同条款执行时，将自动终止本合同部分或全部内容并严格按国家政策规定执行。</w:t>
      </w:r>
    </w:p>
    <w:p w14:paraId="55D2F5AD">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5.货物验收：货物运送至采购人指定的交货地点后，由供应商和采购人进行联合验收，在此期间如发现货物有破损，供应商应立即予以更换（费用由供应商承担）；到货数量以收货地点实际验收数量为准。</w:t>
      </w:r>
    </w:p>
    <w:p w14:paraId="12F89F42">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、质量保证 </w:t>
      </w:r>
    </w:p>
    <w:p w14:paraId="0F7DF544">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.1 供应商所提供的货物必须为原生产厂家的全新产品，所供物资质量必须达到国家或部颁标准，严禁提供假冒伪劣产品，所投货物性能稳定，确保我院设备能正常使用，保证检验结果准确。</w:t>
      </w:r>
    </w:p>
    <w:p w14:paraId="63BB36CB">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.2 质保期：验收合格后一年。在规定的质保期内，供应商对所供产品由于制造或材料缺陷而发生的任何损失负责。 </w:t>
      </w:r>
    </w:p>
    <w:p w14:paraId="45D61736">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.3 实际使用过程中如因产品原因出现异常情况，供应商应请厂家专家来江西中医药大学附属医院协助解决，一切费用由供应商负责。</w:t>
      </w:r>
    </w:p>
    <w:p w14:paraId="1FFC6084">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.4实际使用过程中如因供应商提供货物造成设备的异常及损坏，所有损失由供应商承担。</w:t>
      </w:r>
    </w:p>
    <w:p w14:paraId="48308865">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en-US" w:eastAsia="zh-CN"/>
        </w:rPr>
        <w:t>参与投标的产品获得了医保医用耗材/试剂代码的必须在江西药品和医用耗材招采管理系统挂网采购目录内，挂网状态且为正在执行。或中标通知书发布之日起3个月内完成中标产品挂网，若未完成本合同自动终止。（挂网状态处于正在执行状态的需在投标文件中提供江西省药品和医用耗材招采管理系统挂网信息截图；已上报平台但未公示的产品需提供相关产品的平台上报凭证；未挂网的需提供承诺函，承诺中标通知书发布之日起3个月内完成中标产品挂网，若未提供视为无效响应。）</w:t>
      </w:r>
      <w:bookmarkStart w:id="6" w:name="_GoBack"/>
      <w:bookmarkEnd w:id="6"/>
    </w:p>
    <w:p w14:paraId="2FFE33DD">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、供货标准及质量保证</w:t>
      </w:r>
    </w:p>
    <w:p w14:paraId="10263AD4">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color w:val="000000"/>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.1、</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必须具有履行本合同全部义务所要求的资质和授权，必须向</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提供相关证书材料，包括但不限于：</w:t>
      </w:r>
      <w:r>
        <w:rPr>
          <w:rFonts w:hint="eastAsia" w:ascii="宋体" w:hAnsi="宋体" w:eastAsia="宋体" w:cs="宋体"/>
          <w:color w:val="000000"/>
          <w:sz w:val="24"/>
          <w:szCs w:val="24"/>
          <w:highlight w:val="none"/>
          <w:lang w:eastAsia="zh-CN"/>
        </w:rPr>
        <w:t>资格条件中要求所有材料</w:t>
      </w:r>
      <w:r>
        <w:rPr>
          <w:rFonts w:hint="eastAsia" w:ascii="宋体" w:hAnsi="宋体" w:eastAsia="宋体" w:cs="宋体"/>
          <w:color w:val="000000"/>
          <w:sz w:val="24"/>
          <w:szCs w:val="24"/>
          <w:highlight w:val="none"/>
        </w:rPr>
        <w:t>复印件，代理服务授权书、法人授权委托书、受委托人身份证复印件等相关材料并加盖单位公章。</w:t>
      </w:r>
    </w:p>
    <w:p w14:paraId="11C5669E">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.2、供应商所提供的产品质量应符合国家有关监督管理部门的标准及行业标准，并与投标或者议价时所承诺的质量相一致，以确保临床使用安全有效。一旦发现不合格产品存在严重质量问题或安全隐患，</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val="en-US" w:eastAsia="zh-CN"/>
        </w:rPr>
        <w:t>将对</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处以1万元罚款,若不缴纳本合同自动终止。</w:t>
      </w:r>
    </w:p>
    <w:p w14:paraId="48B38FB4">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.3、采购人在接收产品时，如发现质量标准、有效期、包装和订单数量不符合要求的产品，有权拒绝接收；供应商应及时更换被拒绝的耗材产品，不得影响采购人临床使用。</w:t>
      </w:r>
    </w:p>
    <w:p w14:paraId="74B0D6B6">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.其他要求：</w:t>
      </w:r>
    </w:p>
    <w:p w14:paraId="2326C924">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.1所提供产品必须具有在中国境内的合法使用权和用户保护权，符合国家有关监督管理部门规定的标准要求，如产生争议其责任由供应商全部承担。</w:t>
      </w:r>
    </w:p>
    <w:p w14:paraId="3B6C05CC">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.2提供产品均应按国家规定的标准进行包装，包装、标签、说明书符合国家标准。</w:t>
      </w:r>
    </w:p>
    <w:p w14:paraId="4769AC80">
      <w:pPr>
        <w:pStyle w:val="6"/>
        <w:keepNext w:val="0"/>
        <w:keepLines w:val="0"/>
        <w:pageBreakBefore w:val="0"/>
        <w:widowControl w:val="0"/>
        <w:kinsoku/>
        <w:wordWrap/>
        <w:overflowPunct/>
        <w:topLinePunct w:val="0"/>
        <w:autoSpaceDE/>
        <w:autoSpaceDN/>
        <w:bidi w:val="0"/>
        <w:adjustRightInd/>
        <w:snapToGrid/>
        <w:spacing w:after="0" w:line="460" w:lineRule="exact"/>
        <w:ind w:left="0" w:leftChars="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.3 供应商须在响应文件中承诺所投产品销售价格为全省最低价，未承诺视为无效响应。在合同期内，同品牌同规格同型号医用耗材的价格省内医院的价格低于采购人采购价，供应商应立即无条件告知采购人调价，并签订补充协议，如被发现不及时调整价格的将给于供应商1万元罚款，若不缴纳本合同自动终止。（响应文件中单独提供承诺函，格式详见：全省最低报价承诺书）。</w:t>
      </w:r>
    </w:p>
    <w:p w14:paraId="24C9B745">
      <w:pPr>
        <w:pStyle w:val="6"/>
        <w:keepNext w:val="0"/>
        <w:keepLines w:val="0"/>
        <w:pageBreakBefore w:val="0"/>
        <w:widowControl w:val="0"/>
        <w:kinsoku/>
        <w:wordWrap/>
        <w:overflowPunct/>
        <w:topLinePunct w:val="0"/>
        <w:autoSpaceDE/>
        <w:autoSpaceDN/>
        <w:bidi w:val="0"/>
        <w:adjustRightInd/>
        <w:snapToGrid/>
        <w:spacing w:after="0" w:line="460" w:lineRule="exact"/>
        <w:ind w:left="0" w:leftChars="0" w:firstLine="0" w:firstLineChars="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8.4 供应商购销廉洁承诺：本公司的法定代表人、执行董事、股东主要人员与江西中医药大学附属医院在职在编职工不存在配偶、直系亲属关系。供应商须在响应文件中承诺。（响应文件中单独提供承诺函，格式详见：购销廉洁承诺书）。</w:t>
      </w:r>
    </w:p>
    <w:p w14:paraId="59271B4F">
      <w:pPr>
        <w:pStyle w:val="6"/>
        <w:keepNext w:val="0"/>
        <w:keepLines w:val="0"/>
        <w:pageBreakBefore w:val="0"/>
        <w:widowControl w:val="0"/>
        <w:kinsoku/>
        <w:wordWrap/>
        <w:overflowPunct/>
        <w:topLinePunct w:val="0"/>
        <w:autoSpaceDE/>
        <w:autoSpaceDN/>
        <w:bidi w:val="0"/>
        <w:adjustRightInd/>
        <w:snapToGrid/>
        <w:spacing w:after="0" w:line="460" w:lineRule="exact"/>
        <w:ind w:left="0" w:leftChars="0" w:firstLine="0" w:firstLineChars="0"/>
        <w:textAlignment w:val="auto"/>
        <w:rPr>
          <w:rFonts w:hint="default"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8.5 供应商诚信承诺：本公司未被列入江西中医药大学附属医院、江西省卫生健康委员会失信名单。供应商须在响应文件中承诺。（响应文件中单独提供承诺函）。</w:t>
      </w:r>
    </w:p>
    <w:p w14:paraId="65C3CD38">
      <w:pPr>
        <w:spacing w:line="560" w:lineRule="exact"/>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highlight w:val="none"/>
          <w:lang w:val="en-US" w:eastAsia="zh-CN"/>
        </w:rPr>
        <w:t>注：以上商务要求为必须满足项，否则作无效响应处理。</w:t>
      </w:r>
    </w:p>
    <w:p w14:paraId="557EC2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395E7"/>
    <w:multiLevelType w:val="singleLevel"/>
    <w:tmpl w:val="907395E7"/>
    <w:lvl w:ilvl="0" w:tentative="0">
      <w:start w:val="1"/>
      <w:numFmt w:val="decimal"/>
      <w:lvlText w:val="%1."/>
      <w:lvlJc w:val="left"/>
      <w:pPr>
        <w:tabs>
          <w:tab w:val="left" w:pos="312"/>
        </w:tabs>
      </w:pPr>
    </w:lvl>
  </w:abstractNum>
  <w:abstractNum w:abstractNumId="1">
    <w:nsid w:val="48F705F0"/>
    <w:multiLevelType w:val="singleLevel"/>
    <w:tmpl w:val="48F705F0"/>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832D29"/>
    <w:rsid w:val="23FD5F2C"/>
    <w:rsid w:val="316762DB"/>
    <w:rsid w:val="67DB0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4"/>
    <w:basedOn w:val="1"/>
    <w:next w:val="1"/>
    <w:qFormat/>
    <w:uiPriority w:val="9"/>
    <w:pPr>
      <w:keepNext/>
      <w:keepLines/>
      <w:spacing w:line="240" w:lineRule="atLeast"/>
      <w:ind w:firstLine="200" w:firstLineChars="200"/>
      <w:outlineLvl w:val="3"/>
    </w:pPr>
    <w:rPr>
      <w:rFonts w:ascii="Cambria" w:hAnsi="Cambria"/>
      <w:b/>
      <w:bCs/>
      <w:kern w:val="0"/>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unhideWhenUsed/>
    <w:qFormat/>
    <w:uiPriority w:val="0"/>
    <w:pPr>
      <w:spacing w:after="120"/>
    </w:pPr>
    <w:rPr>
      <w:rFonts w:ascii="Calibri" w:hAnsi="Calibri"/>
      <w:kern w:val="0"/>
      <w:sz w:val="20"/>
      <w:szCs w:val="20"/>
    </w:rPr>
  </w:style>
  <w:style w:type="paragraph" w:styleId="6">
    <w:name w:val="Body Text First Indent"/>
    <w:basedOn w:val="5"/>
    <w:qFormat/>
    <w:uiPriority w:val="0"/>
    <w:pPr>
      <w:ind w:firstLine="420" w:firstLineChars="100"/>
    </w:p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2152</Words>
  <Characters>2200</Characters>
  <Lines>0</Lines>
  <Paragraphs>0</Paragraphs>
  <TotalTime>0</TotalTime>
  <ScaleCrop>false</ScaleCrop>
  <LinksUpToDate>false</LinksUpToDate>
  <CharactersWithSpaces>2216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2026-03-13T02:40:00Z</dcterms:created>
  <dc:creator>Administrator</dc:creator>
  <cp:lastModifiedBy>Cy.D.One</cp:lastModifiedBy>
  <dcterms:modified xsi:type="dcterms:W3CDTF">2026-03-16T08:29:46Z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eyJoZGlkIjoiNGEwMGY4MjE0Mzk5N2JiOTg1NGNmMjU4NTBhOGRlZTciLCJ1c2VySWQiOiIyMDc1NTE2NTYifQ==</vt:lpwstr>
  </property>
  <property fmtid="{D5CDD505-2E9C-101B-9397-08002B2CF9AE}" pid="4" name="ICV">
    <vt:lpwstr>FA95D9CA14E943B6AB4E335BAE0F8CCD_12</vt:lpwstr>
  </property>
</Properties>
</file>