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250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附件二：</w:t>
      </w:r>
    </w:p>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响应偏离表</w:t>
      </w:r>
    </w:p>
    <w:tbl>
      <w:tblPr>
        <w:tblStyle w:val="4"/>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default" w:ascii="宋体" w:hAnsi="宋体" w:cs="宋体"/>
                <w:b/>
                <w:bCs/>
                <w:kern w:val="0"/>
                <w:sz w:val="24"/>
                <w:szCs w:val="24"/>
                <w:vertAlign w:val="baseline"/>
                <w:lang w:val="en-US" w:eastAsia="zh-CN"/>
              </w:rPr>
              <w:t>蒸汽发生器</w:t>
            </w:r>
            <w:r>
              <w:rPr>
                <w:rFonts w:hint="eastAsia" w:ascii="宋体" w:hAnsi="宋体" w:cs="宋体"/>
                <w:b/>
                <w:bCs/>
                <w:kern w:val="0"/>
                <w:sz w:val="24"/>
                <w:szCs w:val="24"/>
                <w:vertAlign w:val="baseline"/>
                <w:lang w:val="en-US" w:eastAsia="zh-CN"/>
              </w:rPr>
              <w:t>（3台）</w:t>
            </w:r>
            <w:r>
              <w:rPr>
                <w:rFonts w:hint="default" w:ascii="宋体" w:hAnsi="宋体" w:cs="宋体"/>
                <w:b/>
                <w:bCs/>
                <w:kern w:val="0"/>
                <w:sz w:val="24"/>
                <w:szCs w:val="24"/>
                <w:vertAlign w:val="baseline"/>
                <w:lang w:val="en-US" w:eastAsia="zh-CN"/>
              </w:rPr>
              <w:t>维保</w:t>
            </w:r>
            <w:r>
              <w:rPr>
                <w:rFonts w:hint="eastAsia" w:ascii="宋体" w:hAnsi="宋体" w:cs="宋体"/>
                <w:b/>
                <w:bCs/>
                <w:kern w:val="0"/>
                <w:sz w:val="24"/>
                <w:szCs w:val="24"/>
                <w:vertAlign w:val="baseline"/>
                <w:lang w:val="en-US" w:eastAsia="zh-CN"/>
              </w:rPr>
              <w:t>一年</w:t>
            </w:r>
          </w:p>
        </w:tc>
        <w:tc>
          <w:tcPr>
            <w:tcW w:w="990"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56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1</w:t>
            </w:r>
          </w:p>
        </w:tc>
        <w:tc>
          <w:tcPr>
            <w:tcW w:w="6240" w:type="dxa"/>
            <w:tcBorders>
              <w:top w:val="single" w:color="auto" w:sz="4" w:space="0"/>
              <w:left w:val="single" w:color="auto" w:sz="4" w:space="0"/>
              <w:bottom w:val="single" w:color="auto" w:sz="4" w:space="0"/>
              <w:right w:val="single" w:color="auto" w:sz="4" w:space="0"/>
            </w:tcBorders>
            <w:vAlign w:val="center"/>
          </w:tcPr>
          <w:p w14:paraId="3394E13D">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每年一次保养开机及机组性能测试。每年至少2次全面技术维护，最后一次设备全面技术维护需在维保期结束前1周内进行，并提供设备维护保养、设备状态评估报告。</w:t>
            </w:r>
          </w:p>
        </w:tc>
        <w:tc>
          <w:tcPr>
            <w:tcW w:w="990" w:type="dxa"/>
            <w:tcBorders>
              <w:top w:val="single" w:color="auto" w:sz="4" w:space="0"/>
              <w:left w:val="single" w:color="auto" w:sz="4" w:space="0"/>
              <w:bottom w:val="single" w:color="auto" w:sz="4" w:space="0"/>
              <w:right w:val="single" w:color="auto" w:sz="4" w:space="0"/>
            </w:tcBorders>
            <w:vAlign w:val="top"/>
          </w:tcPr>
          <w:p w14:paraId="0C787F3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4911033">
            <w:pPr>
              <w:rPr>
                <w:rFonts w:hint="eastAsia" w:ascii="宋体" w:hAnsi="宋体" w:eastAsia="宋体" w:cs="Arial"/>
                <w:color w:val="FF0000"/>
                <w:kern w:val="2"/>
                <w:sz w:val="22"/>
                <w:szCs w:val="22"/>
                <w:lang w:val="en-US" w:eastAsia="zh-CN" w:bidi="ar-SA"/>
              </w:rPr>
            </w:pPr>
          </w:p>
        </w:tc>
      </w:tr>
      <w:tr w14:paraId="582C066C">
        <w:tblPrEx>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3B61E763">
            <w:pPr>
              <w:spacing w:line="300" w:lineRule="auto"/>
              <w:jc w:val="both"/>
              <w:rPr>
                <w:rFonts w:hint="eastAsia" w:ascii="仿宋" w:hAnsi="仿宋" w:eastAsia="仿宋" w:cs="仿宋"/>
                <w:sz w:val="24"/>
                <w:szCs w:val="24"/>
              </w:rPr>
            </w:pPr>
            <w:r>
              <w:rPr>
                <w:rFonts w:hint="eastAsia" w:ascii="仿宋" w:hAnsi="仿宋" w:eastAsia="仿宋" w:cs="仿宋"/>
                <w:sz w:val="24"/>
                <w:szCs w:val="24"/>
              </w:rPr>
              <w:t>蒸汽发生器保养主要包括：</w:t>
            </w:r>
          </w:p>
        </w:tc>
        <w:tc>
          <w:tcPr>
            <w:tcW w:w="990" w:type="dxa"/>
            <w:tcBorders>
              <w:top w:val="single" w:color="auto" w:sz="4" w:space="0"/>
              <w:left w:val="single" w:color="auto" w:sz="4" w:space="0"/>
              <w:bottom w:val="single" w:color="auto" w:sz="4" w:space="0"/>
              <w:right w:val="single" w:color="auto" w:sz="4" w:space="0"/>
            </w:tcBorders>
            <w:vAlign w:val="top"/>
          </w:tcPr>
          <w:p w14:paraId="535D79C0">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C7A2E51">
            <w:pPr>
              <w:rPr>
                <w:rFonts w:hint="eastAsia" w:ascii="宋体" w:hAnsi="宋体" w:eastAsia="宋体" w:cs="Arial"/>
                <w:color w:val="FF0000"/>
                <w:kern w:val="2"/>
                <w:sz w:val="22"/>
                <w:szCs w:val="22"/>
                <w:lang w:val="en-US" w:eastAsia="zh-CN" w:bidi="ar-SA"/>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1.1.1</w:t>
            </w:r>
          </w:p>
        </w:tc>
        <w:tc>
          <w:tcPr>
            <w:tcW w:w="6240" w:type="dxa"/>
            <w:tcBorders>
              <w:top w:val="single" w:color="auto" w:sz="4" w:space="0"/>
              <w:left w:val="single" w:color="auto" w:sz="4" w:space="0"/>
              <w:bottom w:val="single" w:color="auto" w:sz="4" w:space="0"/>
              <w:right w:val="single" w:color="auto" w:sz="4" w:space="0"/>
            </w:tcBorders>
            <w:vAlign w:val="center"/>
          </w:tcPr>
          <w:p w14:paraId="79A2A8CB">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控制柜内PLC可编程控制器、BP100燃烧控制器、水泵变频器、各电气元件、导线、触摸屏的线端紧固及卫生清理。</w:t>
            </w:r>
          </w:p>
        </w:tc>
        <w:tc>
          <w:tcPr>
            <w:tcW w:w="990" w:type="dxa"/>
            <w:tcBorders>
              <w:top w:val="single" w:color="auto" w:sz="4" w:space="0"/>
              <w:left w:val="single" w:color="auto" w:sz="4" w:space="0"/>
              <w:bottom w:val="single" w:color="auto" w:sz="4" w:space="0"/>
              <w:right w:val="single" w:color="auto" w:sz="4" w:space="0"/>
            </w:tcBorders>
            <w:vAlign w:val="top"/>
          </w:tcPr>
          <w:p w14:paraId="560746BB">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95C5D1A">
            <w:pPr>
              <w:rPr>
                <w:rFonts w:hint="eastAsia" w:ascii="宋体" w:hAnsi="宋体" w:eastAsia="宋体" w:cs="Arial"/>
                <w:color w:val="FF0000"/>
                <w:kern w:val="2"/>
                <w:sz w:val="22"/>
                <w:szCs w:val="22"/>
                <w:lang w:val="en-US" w:eastAsia="zh-CN" w:bidi="ar-SA"/>
              </w:rPr>
            </w:pPr>
          </w:p>
        </w:tc>
      </w:tr>
      <w:tr w14:paraId="0A91D03E">
        <w:tblPrEx>
          <w:tblCellMar>
            <w:top w:w="0" w:type="dxa"/>
            <w:left w:w="108" w:type="dxa"/>
            <w:bottom w:w="0" w:type="dxa"/>
            <w:right w:w="108" w:type="dxa"/>
          </w:tblCellMar>
        </w:tblPrEx>
        <w:trPr>
          <w:trHeight w:val="50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1.1.2</w:t>
            </w:r>
          </w:p>
        </w:tc>
        <w:tc>
          <w:tcPr>
            <w:tcW w:w="6240" w:type="dxa"/>
            <w:tcBorders>
              <w:top w:val="single" w:color="auto" w:sz="4" w:space="0"/>
              <w:left w:val="single" w:color="auto" w:sz="4" w:space="0"/>
              <w:bottom w:val="single" w:color="auto" w:sz="4" w:space="0"/>
              <w:right w:val="single" w:color="auto" w:sz="4" w:space="0"/>
            </w:tcBorders>
            <w:vAlign w:val="center"/>
          </w:tcPr>
          <w:p w14:paraId="38332F43">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终端线路燃烧器、零压阀、步进阀、蒸汽超温保护、液胀烟温保护、缺水保护、蒸汽超压保护、给水超压保护、水位控制、给水流量计、给水温度、蒸汽温度、烟气温度、水处理器、给水泵、隔膜泵、给水压力传感器、蒸汽压力传感器、电动阀的线路检查及线端紧固保养。</w:t>
            </w:r>
          </w:p>
        </w:tc>
        <w:tc>
          <w:tcPr>
            <w:tcW w:w="990" w:type="dxa"/>
            <w:tcBorders>
              <w:top w:val="single" w:color="auto" w:sz="4" w:space="0"/>
              <w:left w:val="single" w:color="auto" w:sz="4" w:space="0"/>
              <w:bottom w:val="single" w:color="auto" w:sz="4" w:space="0"/>
              <w:right w:val="single" w:color="auto" w:sz="4" w:space="0"/>
            </w:tcBorders>
            <w:vAlign w:val="top"/>
          </w:tcPr>
          <w:p w14:paraId="5B1D55E1">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90550EA">
            <w:pPr>
              <w:rPr>
                <w:rFonts w:hint="eastAsia" w:ascii="宋体" w:hAnsi="宋体" w:eastAsia="宋体" w:cs="Arial"/>
                <w:color w:val="FF0000"/>
                <w:kern w:val="2"/>
                <w:sz w:val="22"/>
                <w:szCs w:val="22"/>
                <w:lang w:val="en-US" w:eastAsia="zh-CN" w:bidi="ar-SA"/>
              </w:rPr>
            </w:pPr>
          </w:p>
        </w:tc>
      </w:tr>
      <w:tr w14:paraId="75923B89">
        <w:tblPrEx>
          <w:tblCellMar>
            <w:top w:w="0" w:type="dxa"/>
            <w:left w:w="108" w:type="dxa"/>
            <w:bottom w:w="0" w:type="dxa"/>
            <w:right w:w="108" w:type="dxa"/>
          </w:tblCellMar>
        </w:tblPrEx>
        <w:trPr>
          <w:trHeight w:val="42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1.1.3</w:t>
            </w:r>
          </w:p>
        </w:tc>
        <w:tc>
          <w:tcPr>
            <w:tcW w:w="6240" w:type="dxa"/>
            <w:tcBorders>
              <w:top w:val="single" w:color="auto" w:sz="4" w:space="0"/>
              <w:left w:val="single" w:color="auto" w:sz="4" w:space="0"/>
              <w:bottom w:val="single" w:color="auto" w:sz="4" w:space="0"/>
              <w:right w:val="single" w:color="auto" w:sz="4" w:space="0"/>
            </w:tcBorders>
            <w:vAlign w:val="center"/>
          </w:tcPr>
          <w:p w14:paraId="14922AE6">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燃烧器点火装置、离子棒、紫外线火焰探头、燃烧头的除尘清理及调整。</w:t>
            </w:r>
          </w:p>
        </w:tc>
        <w:tc>
          <w:tcPr>
            <w:tcW w:w="990" w:type="dxa"/>
            <w:tcBorders>
              <w:top w:val="single" w:color="auto" w:sz="4" w:space="0"/>
              <w:left w:val="single" w:color="auto" w:sz="4" w:space="0"/>
              <w:bottom w:val="single" w:color="auto" w:sz="4" w:space="0"/>
              <w:right w:val="single" w:color="auto" w:sz="4" w:space="0"/>
            </w:tcBorders>
            <w:vAlign w:val="top"/>
          </w:tcPr>
          <w:p w14:paraId="3B5BD8A6">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DDAEC89">
            <w:pPr>
              <w:rPr>
                <w:rFonts w:hint="eastAsia" w:ascii="宋体" w:hAnsi="宋体" w:eastAsia="宋体" w:cs="Arial"/>
                <w:color w:val="FF0000"/>
                <w:kern w:val="2"/>
                <w:sz w:val="22"/>
                <w:szCs w:val="22"/>
                <w:lang w:val="en-US" w:eastAsia="zh-CN" w:bidi="ar-SA"/>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1.1.4</w:t>
            </w:r>
          </w:p>
        </w:tc>
        <w:tc>
          <w:tcPr>
            <w:tcW w:w="6240" w:type="dxa"/>
            <w:tcBorders>
              <w:top w:val="single" w:color="auto" w:sz="4" w:space="0"/>
              <w:left w:val="single" w:color="auto" w:sz="4" w:space="0"/>
              <w:bottom w:val="single" w:color="auto" w:sz="4" w:space="0"/>
              <w:right w:val="single" w:color="auto" w:sz="4" w:space="0"/>
            </w:tcBorders>
            <w:vAlign w:val="center"/>
          </w:tcPr>
          <w:p w14:paraId="2858E80C">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燃烧器供油（气）管过滤网、油泵过滤网、阀组过滤网除尘清洗。</w:t>
            </w:r>
          </w:p>
        </w:tc>
        <w:tc>
          <w:tcPr>
            <w:tcW w:w="990" w:type="dxa"/>
            <w:tcBorders>
              <w:top w:val="single" w:color="auto" w:sz="4" w:space="0"/>
              <w:left w:val="single" w:color="auto" w:sz="4" w:space="0"/>
              <w:bottom w:val="single" w:color="auto" w:sz="4" w:space="0"/>
              <w:right w:val="single" w:color="auto" w:sz="4" w:space="0"/>
            </w:tcBorders>
            <w:vAlign w:val="top"/>
          </w:tcPr>
          <w:p w14:paraId="7BF2683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F044BCC">
            <w:pPr>
              <w:rPr>
                <w:rFonts w:hint="eastAsia" w:ascii="宋体" w:hAnsi="宋体" w:eastAsia="宋体" w:cs="Arial"/>
                <w:color w:val="FF0000"/>
                <w:kern w:val="2"/>
                <w:sz w:val="22"/>
                <w:szCs w:val="22"/>
                <w:lang w:val="en-US" w:eastAsia="zh-CN" w:bidi="ar-SA"/>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1.1.5</w:t>
            </w:r>
          </w:p>
        </w:tc>
        <w:tc>
          <w:tcPr>
            <w:tcW w:w="6240" w:type="dxa"/>
            <w:tcBorders>
              <w:top w:val="single" w:color="auto" w:sz="4" w:space="0"/>
              <w:left w:val="single" w:color="auto" w:sz="4" w:space="0"/>
              <w:bottom w:val="single" w:color="auto" w:sz="4" w:space="0"/>
              <w:right w:val="single" w:color="auto" w:sz="4" w:space="0"/>
            </w:tcBorders>
            <w:vAlign w:val="center"/>
          </w:tcPr>
          <w:p w14:paraId="5C97F6F4">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安全阀、疏水阀、排污阀、汽水分离器、主汽阀的检查保养。</w:t>
            </w:r>
          </w:p>
        </w:tc>
        <w:tc>
          <w:tcPr>
            <w:tcW w:w="990" w:type="dxa"/>
            <w:tcBorders>
              <w:top w:val="single" w:color="auto" w:sz="4" w:space="0"/>
              <w:left w:val="single" w:color="auto" w:sz="4" w:space="0"/>
              <w:bottom w:val="single" w:color="auto" w:sz="4" w:space="0"/>
              <w:right w:val="single" w:color="auto" w:sz="4" w:space="0"/>
            </w:tcBorders>
            <w:vAlign w:val="top"/>
          </w:tcPr>
          <w:p w14:paraId="1AA0405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C17B4A1">
            <w:pPr>
              <w:rPr>
                <w:rFonts w:hint="eastAsia" w:ascii="宋体" w:hAnsi="宋体" w:eastAsia="宋体" w:cs="Arial"/>
                <w:color w:val="FF0000"/>
                <w:kern w:val="2"/>
                <w:sz w:val="22"/>
                <w:szCs w:val="22"/>
                <w:lang w:val="en-US" w:eastAsia="zh-CN" w:bidi="ar-SA"/>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1.1.6</w:t>
            </w:r>
          </w:p>
        </w:tc>
        <w:tc>
          <w:tcPr>
            <w:tcW w:w="6240" w:type="dxa"/>
            <w:tcBorders>
              <w:top w:val="single" w:color="auto" w:sz="4" w:space="0"/>
              <w:left w:val="single" w:color="auto" w:sz="4" w:space="0"/>
              <w:bottom w:val="single" w:color="auto" w:sz="4" w:space="0"/>
              <w:right w:val="single" w:color="auto" w:sz="4" w:space="0"/>
            </w:tcBorders>
            <w:vAlign w:val="center"/>
          </w:tcPr>
          <w:p w14:paraId="3890308C">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隔膜泵油位检查及确认。</w:t>
            </w:r>
          </w:p>
        </w:tc>
        <w:tc>
          <w:tcPr>
            <w:tcW w:w="990" w:type="dxa"/>
            <w:tcBorders>
              <w:top w:val="single" w:color="auto" w:sz="4" w:space="0"/>
              <w:left w:val="single" w:color="auto" w:sz="4" w:space="0"/>
              <w:bottom w:val="single" w:color="auto" w:sz="4" w:space="0"/>
              <w:right w:val="single" w:color="auto" w:sz="4" w:space="0"/>
            </w:tcBorders>
            <w:vAlign w:val="top"/>
          </w:tcPr>
          <w:p w14:paraId="2A60C70A">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BCD7442">
            <w:pPr>
              <w:rPr>
                <w:rFonts w:hint="eastAsia" w:ascii="宋体" w:hAnsi="宋体" w:eastAsia="宋体" w:cs="Arial"/>
                <w:color w:val="FF0000"/>
                <w:kern w:val="2"/>
                <w:sz w:val="22"/>
                <w:szCs w:val="22"/>
                <w:lang w:val="en-US" w:eastAsia="zh-CN" w:bidi="ar-SA"/>
              </w:rPr>
            </w:pPr>
          </w:p>
        </w:tc>
      </w:tr>
      <w:tr w14:paraId="3DB16E1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C029B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1.1.7</w:t>
            </w:r>
          </w:p>
        </w:tc>
        <w:tc>
          <w:tcPr>
            <w:tcW w:w="6240" w:type="dxa"/>
            <w:tcBorders>
              <w:top w:val="single" w:color="auto" w:sz="4" w:space="0"/>
              <w:left w:val="single" w:color="auto" w:sz="4" w:space="0"/>
              <w:bottom w:val="single" w:color="auto" w:sz="4" w:space="0"/>
              <w:right w:val="single" w:color="auto" w:sz="4" w:space="0"/>
            </w:tcBorders>
            <w:vAlign w:val="center"/>
          </w:tcPr>
          <w:p w14:paraId="30AAFFD5">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给水压力表、回水压力表、蒸汽压力表的检查保养。</w:t>
            </w:r>
          </w:p>
        </w:tc>
        <w:tc>
          <w:tcPr>
            <w:tcW w:w="990" w:type="dxa"/>
            <w:tcBorders>
              <w:top w:val="single" w:color="auto" w:sz="4" w:space="0"/>
              <w:left w:val="single" w:color="auto" w:sz="4" w:space="0"/>
              <w:bottom w:val="single" w:color="auto" w:sz="4" w:space="0"/>
              <w:right w:val="single" w:color="auto" w:sz="4" w:space="0"/>
            </w:tcBorders>
            <w:vAlign w:val="top"/>
          </w:tcPr>
          <w:p w14:paraId="5717B7D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24A1B98">
            <w:pPr>
              <w:rPr>
                <w:rFonts w:hint="eastAsia" w:ascii="宋体" w:hAnsi="宋体" w:eastAsia="宋体" w:cs="Arial"/>
                <w:color w:val="FF0000"/>
                <w:kern w:val="2"/>
                <w:sz w:val="22"/>
                <w:szCs w:val="22"/>
                <w:lang w:val="en-US" w:eastAsia="zh-CN" w:bidi="ar-SA"/>
              </w:rPr>
            </w:pPr>
          </w:p>
        </w:tc>
      </w:tr>
      <w:tr w14:paraId="466CA6F7">
        <w:tblPrEx>
          <w:tblCellMar>
            <w:top w:w="0" w:type="dxa"/>
            <w:left w:w="108" w:type="dxa"/>
            <w:bottom w:w="0" w:type="dxa"/>
            <w:right w:w="108" w:type="dxa"/>
          </w:tblCellMar>
        </w:tblPrEx>
        <w:trPr>
          <w:trHeight w:val="791"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1.1.8</w:t>
            </w:r>
          </w:p>
        </w:tc>
        <w:tc>
          <w:tcPr>
            <w:tcW w:w="6240" w:type="dxa"/>
            <w:tcBorders>
              <w:top w:val="single" w:color="auto" w:sz="4" w:space="0"/>
              <w:left w:val="single" w:color="auto" w:sz="4" w:space="0"/>
              <w:bottom w:val="single" w:color="auto" w:sz="4" w:space="0"/>
              <w:right w:val="single" w:color="auto" w:sz="4" w:space="0"/>
            </w:tcBorders>
            <w:vAlign w:val="center"/>
          </w:tcPr>
          <w:p w14:paraId="3E5B7B11">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盘管结垢情况检查，结垢的要酸洗。</w:t>
            </w:r>
          </w:p>
        </w:tc>
        <w:tc>
          <w:tcPr>
            <w:tcW w:w="990" w:type="dxa"/>
            <w:tcBorders>
              <w:top w:val="single" w:color="auto" w:sz="4" w:space="0"/>
              <w:left w:val="single" w:color="auto" w:sz="4" w:space="0"/>
              <w:bottom w:val="single" w:color="auto" w:sz="4" w:space="0"/>
              <w:right w:val="single" w:color="auto" w:sz="4" w:space="0"/>
            </w:tcBorders>
            <w:vAlign w:val="top"/>
          </w:tcPr>
          <w:p w14:paraId="7ECE226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C4A1FE">
            <w:pPr>
              <w:rPr>
                <w:rFonts w:hint="eastAsia" w:ascii="宋体" w:hAnsi="宋体" w:eastAsia="宋体" w:cs="Arial"/>
                <w:color w:val="FF0000"/>
                <w:kern w:val="2"/>
                <w:sz w:val="22"/>
                <w:szCs w:val="22"/>
                <w:lang w:val="en-US" w:eastAsia="zh-CN" w:bidi="ar-SA"/>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1.1.9</w:t>
            </w:r>
          </w:p>
        </w:tc>
        <w:tc>
          <w:tcPr>
            <w:tcW w:w="6240" w:type="dxa"/>
            <w:tcBorders>
              <w:top w:val="single" w:color="auto" w:sz="4" w:space="0"/>
              <w:left w:val="single" w:color="auto" w:sz="4" w:space="0"/>
              <w:bottom w:val="single" w:color="auto" w:sz="4" w:space="0"/>
              <w:right w:val="single" w:color="auto" w:sz="4" w:space="0"/>
            </w:tcBorders>
            <w:vAlign w:val="center"/>
          </w:tcPr>
          <w:p w14:paraId="6B8CFF19">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水处理再生吸盐过程检查及给水水质化验。</w:t>
            </w:r>
          </w:p>
        </w:tc>
        <w:tc>
          <w:tcPr>
            <w:tcW w:w="990" w:type="dxa"/>
            <w:tcBorders>
              <w:top w:val="single" w:color="auto" w:sz="4" w:space="0"/>
              <w:left w:val="single" w:color="auto" w:sz="4" w:space="0"/>
              <w:bottom w:val="single" w:color="auto" w:sz="4" w:space="0"/>
              <w:right w:val="single" w:color="auto" w:sz="4" w:space="0"/>
            </w:tcBorders>
            <w:vAlign w:val="top"/>
          </w:tcPr>
          <w:p w14:paraId="20E673BC">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DDFD820">
            <w:pPr>
              <w:rPr>
                <w:rFonts w:hint="eastAsia" w:ascii="宋体" w:hAnsi="宋体" w:eastAsia="宋体" w:cs="Arial"/>
                <w:color w:val="FF0000"/>
                <w:kern w:val="2"/>
                <w:sz w:val="22"/>
                <w:szCs w:val="22"/>
                <w:lang w:val="en-US" w:eastAsia="zh-CN" w:bidi="ar-SA"/>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1.1.10</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定期清洗更换设备过滤棉、柱塞泵齿轮油、风机过滤棉。</w:t>
            </w:r>
          </w:p>
        </w:tc>
        <w:tc>
          <w:tcPr>
            <w:tcW w:w="990" w:type="dxa"/>
            <w:tcBorders>
              <w:top w:val="single" w:color="auto" w:sz="4" w:space="0"/>
              <w:left w:val="single" w:color="auto" w:sz="4" w:space="0"/>
              <w:bottom w:val="single" w:color="auto" w:sz="4" w:space="0"/>
              <w:right w:val="single" w:color="auto" w:sz="4" w:space="0"/>
            </w:tcBorders>
            <w:vAlign w:val="top"/>
          </w:tcPr>
          <w:p w14:paraId="255A03F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83D357">
            <w:pPr>
              <w:rPr>
                <w:rFonts w:hint="eastAsia" w:ascii="宋体" w:hAnsi="宋体" w:eastAsia="宋体" w:cs="Arial"/>
                <w:color w:val="FF0000"/>
                <w:kern w:val="2"/>
                <w:sz w:val="22"/>
                <w:szCs w:val="22"/>
                <w:lang w:val="en-US" w:eastAsia="zh-CN" w:bidi="ar-SA"/>
              </w:rPr>
            </w:pPr>
          </w:p>
        </w:tc>
      </w:tr>
      <w:tr w14:paraId="03C5153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19C5A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1760C3FF">
            <w:pPr>
              <w:spacing w:line="300" w:lineRule="auto"/>
              <w:jc w:val="both"/>
              <w:rPr>
                <w:rFonts w:hint="eastAsia" w:ascii="仿宋" w:hAnsi="仿宋" w:eastAsia="仿宋" w:cs="仿宋"/>
                <w:sz w:val="24"/>
                <w:szCs w:val="24"/>
              </w:rPr>
            </w:pPr>
            <w:r>
              <w:rPr>
                <w:rFonts w:hint="eastAsia" w:ascii="仿宋" w:hAnsi="仿宋" w:eastAsia="仿宋" w:cs="仿宋"/>
                <w:sz w:val="24"/>
                <w:szCs w:val="24"/>
              </w:rPr>
              <w:t>机组性能测试包括压力温度控制准确度、安全装置动作试验、水位控制动作试验、零压阀动作试验、燃气流量调整、风量调整、排烟测试&lt;燃烧效率测试&gt;、水流量调整、水处理器测试。</w:t>
            </w:r>
          </w:p>
          <w:p w14:paraId="36CD6AF0">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安全装置包括安全阀、风压检测、熄火锁定、水位控制、蒸汽超温保护、液胀烟温保护、缺水保护、蒸汽超压保护、给水超压保护、水位控制。</w:t>
            </w:r>
          </w:p>
        </w:tc>
        <w:tc>
          <w:tcPr>
            <w:tcW w:w="990" w:type="dxa"/>
            <w:tcBorders>
              <w:top w:val="single" w:color="auto" w:sz="4" w:space="0"/>
              <w:left w:val="single" w:color="auto" w:sz="4" w:space="0"/>
              <w:bottom w:val="single" w:color="auto" w:sz="4" w:space="0"/>
              <w:right w:val="single" w:color="auto" w:sz="4" w:space="0"/>
            </w:tcBorders>
            <w:vAlign w:val="top"/>
          </w:tcPr>
          <w:p w14:paraId="151938A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AB63BE6">
            <w:pPr>
              <w:rPr>
                <w:rFonts w:hint="eastAsia" w:ascii="宋体" w:hAnsi="宋体" w:eastAsia="宋体" w:cs="Arial"/>
                <w:color w:val="FF0000"/>
                <w:kern w:val="2"/>
                <w:sz w:val="22"/>
                <w:szCs w:val="22"/>
                <w:lang w:val="en-US" w:eastAsia="zh-CN" w:bidi="ar-SA"/>
              </w:rPr>
            </w:pPr>
          </w:p>
        </w:tc>
      </w:tr>
      <w:tr w14:paraId="2B50DD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68170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1.3</w:t>
            </w:r>
            <w:bookmarkStart w:id="0" w:name="_GoBack"/>
            <w:bookmarkEnd w:id="0"/>
          </w:p>
        </w:tc>
        <w:tc>
          <w:tcPr>
            <w:tcW w:w="6240" w:type="dxa"/>
            <w:tcBorders>
              <w:top w:val="single" w:color="auto" w:sz="4" w:space="0"/>
              <w:left w:val="single" w:color="auto" w:sz="4" w:space="0"/>
              <w:bottom w:val="single" w:color="auto" w:sz="4" w:space="0"/>
              <w:right w:val="single" w:color="auto" w:sz="4" w:space="0"/>
            </w:tcBorders>
            <w:vAlign w:val="center"/>
          </w:tcPr>
          <w:p w14:paraId="556A9360">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培训操作人员。包括日常维护、操作方法、操作注意事项、应急处理等。</w:t>
            </w:r>
          </w:p>
        </w:tc>
        <w:tc>
          <w:tcPr>
            <w:tcW w:w="990" w:type="dxa"/>
            <w:tcBorders>
              <w:top w:val="single" w:color="auto" w:sz="4" w:space="0"/>
              <w:left w:val="single" w:color="auto" w:sz="4" w:space="0"/>
              <w:bottom w:val="single" w:color="auto" w:sz="4" w:space="0"/>
              <w:right w:val="single" w:color="auto" w:sz="4" w:space="0"/>
            </w:tcBorders>
            <w:vAlign w:val="top"/>
          </w:tcPr>
          <w:p w14:paraId="77810A2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4419A33">
            <w:pPr>
              <w:rPr>
                <w:rFonts w:hint="eastAsia" w:ascii="宋体" w:hAnsi="宋体" w:eastAsia="宋体" w:cs="Arial"/>
                <w:color w:val="FF0000"/>
                <w:kern w:val="2"/>
                <w:sz w:val="22"/>
                <w:szCs w:val="22"/>
                <w:lang w:val="en-US" w:eastAsia="zh-CN" w:bidi="ar-SA"/>
              </w:rPr>
            </w:pPr>
          </w:p>
        </w:tc>
      </w:tr>
      <w:tr w14:paraId="4B0AE59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9535E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2</w:t>
            </w:r>
          </w:p>
        </w:tc>
        <w:tc>
          <w:tcPr>
            <w:tcW w:w="6240" w:type="dxa"/>
            <w:tcBorders>
              <w:top w:val="single" w:color="auto" w:sz="4" w:space="0"/>
              <w:left w:val="single" w:color="auto" w:sz="4" w:space="0"/>
              <w:bottom w:val="single" w:color="auto" w:sz="4" w:space="0"/>
              <w:right w:val="single" w:color="auto" w:sz="4" w:space="0"/>
            </w:tcBorders>
            <w:vAlign w:val="center"/>
          </w:tcPr>
          <w:p w14:paraId="2797BD1B">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机组运行期间</w:t>
            </w:r>
            <w:r>
              <w:rPr>
                <w:rFonts w:hint="eastAsia" w:ascii="仿宋" w:hAnsi="仿宋" w:eastAsia="仿宋" w:cs="仿宋"/>
                <w:sz w:val="24"/>
                <w:szCs w:val="24"/>
                <w:lang w:eastAsia="zh-CN"/>
              </w:rPr>
              <w:t>供应商</w:t>
            </w:r>
            <w:r>
              <w:rPr>
                <w:rFonts w:hint="eastAsia" w:ascii="仿宋" w:hAnsi="仿宋" w:eastAsia="仿宋" w:cs="仿宋"/>
                <w:sz w:val="24"/>
                <w:szCs w:val="24"/>
              </w:rPr>
              <w:t>每 2 个月回访一次，主要包括及时排除医院在使用过程中遇到的问题、检查整机运行状况、控制箱运行状况、燃烧器运行状况、水质化验。</w:t>
            </w:r>
          </w:p>
        </w:tc>
        <w:tc>
          <w:tcPr>
            <w:tcW w:w="990" w:type="dxa"/>
            <w:tcBorders>
              <w:top w:val="single" w:color="auto" w:sz="4" w:space="0"/>
              <w:left w:val="single" w:color="auto" w:sz="4" w:space="0"/>
              <w:bottom w:val="single" w:color="auto" w:sz="4" w:space="0"/>
              <w:right w:val="single" w:color="auto" w:sz="4" w:space="0"/>
            </w:tcBorders>
            <w:vAlign w:val="top"/>
          </w:tcPr>
          <w:p w14:paraId="3BA855F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23E3397">
            <w:pPr>
              <w:rPr>
                <w:rFonts w:hint="eastAsia" w:ascii="宋体" w:hAnsi="宋体" w:eastAsia="宋体" w:cs="Arial"/>
                <w:color w:val="FF0000"/>
                <w:kern w:val="2"/>
                <w:sz w:val="22"/>
                <w:szCs w:val="22"/>
                <w:lang w:val="en-US" w:eastAsia="zh-CN" w:bidi="ar-SA"/>
              </w:rPr>
            </w:pPr>
          </w:p>
        </w:tc>
      </w:tr>
      <w:tr w14:paraId="0A716E2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04A0A0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3</w:t>
            </w:r>
          </w:p>
        </w:tc>
        <w:tc>
          <w:tcPr>
            <w:tcW w:w="6240" w:type="dxa"/>
            <w:tcBorders>
              <w:top w:val="single" w:color="auto" w:sz="4" w:space="0"/>
              <w:left w:val="single" w:color="auto" w:sz="4" w:space="0"/>
              <w:bottom w:val="single" w:color="auto" w:sz="4" w:space="0"/>
              <w:right w:val="single" w:color="auto" w:sz="4" w:space="0"/>
            </w:tcBorders>
            <w:vAlign w:val="center"/>
          </w:tcPr>
          <w:p w14:paraId="36AB2A79">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机组运行期间，</w:t>
            </w:r>
            <w:r>
              <w:rPr>
                <w:rFonts w:hint="eastAsia" w:ascii="仿宋" w:hAnsi="仿宋" w:eastAsia="仿宋" w:cs="仿宋"/>
                <w:sz w:val="24"/>
                <w:szCs w:val="24"/>
                <w:lang w:eastAsia="zh-CN"/>
              </w:rPr>
              <w:t>供应商</w:t>
            </w:r>
            <w:r>
              <w:rPr>
                <w:rFonts w:hint="eastAsia" w:ascii="仿宋" w:hAnsi="仿宋" w:eastAsia="仿宋" w:cs="仿宋"/>
                <w:sz w:val="24"/>
                <w:szCs w:val="24"/>
              </w:rPr>
              <w:t>的远程在线监控系统检测到机组故障后能发送信息通知医院工程管理人员处理，如需提供现场服务的医院可要求</w:t>
            </w:r>
            <w:r>
              <w:rPr>
                <w:rFonts w:hint="eastAsia" w:ascii="仿宋" w:hAnsi="仿宋" w:eastAsia="仿宋" w:cs="仿宋"/>
                <w:sz w:val="24"/>
                <w:szCs w:val="24"/>
                <w:lang w:eastAsia="zh-CN"/>
              </w:rPr>
              <w:t>供应商</w:t>
            </w:r>
            <w:r>
              <w:rPr>
                <w:rFonts w:hint="eastAsia" w:ascii="仿宋" w:hAnsi="仿宋" w:eastAsia="仿宋" w:cs="仿宋"/>
                <w:sz w:val="24"/>
                <w:szCs w:val="24"/>
              </w:rPr>
              <w:t>相关服务人员提供服务。</w:t>
            </w:r>
          </w:p>
        </w:tc>
        <w:tc>
          <w:tcPr>
            <w:tcW w:w="990" w:type="dxa"/>
            <w:tcBorders>
              <w:top w:val="single" w:color="auto" w:sz="4" w:space="0"/>
              <w:left w:val="single" w:color="auto" w:sz="4" w:space="0"/>
              <w:bottom w:val="single" w:color="auto" w:sz="4" w:space="0"/>
              <w:right w:val="single" w:color="auto" w:sz="4" w:space="0"/>
            </w:tcBorders>
            <w:vAlign w:val="top"/>
          </w:tcPr>
          <w:p w14:paraId="722B928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14ABB6D">
            <w:pPr>
              <w:rPr>
                <w:rFonts w:hint="eastAsia" w:ascii="宋体" w:hAnsi="宋体" w:eastAsia="宋体" w:cs="Arial"/>
                <w:color w:val="FF0000"/>
                <w:kern w:val="2"/>
                <w:sz w:val="22"/>
                <w:szCs w:val="22"/>
                <w:lang w:val="en-US" w:eastAsia="zh-CN" w:bidi="ar-SA"/>
              </w:rPr>
            </w:pPr>
          </w:p>
        </w:tc>
      </w:tr>
      <w:tr w14:paraId="481FB08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55EA4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4</w:t>
            </w:r>
          </w:p>
        </w:tc>
        <w:tc>
          <w:tcPr>
            <w:tcW w:w="6240" w:type="dxa"/>
            <w:tcBorders>
              <w:top w:val="single" w:color="auto" w:sz="4" w:space="0"/>
              <w:left w:val="single" w:color="auto" w:sz="4" w:space="0"/>
              <w:bottom w:val="single" w:color="auto" w:sz="4" w:space="0"/>
              <w:right w:val="single" w:color="auto" w:sz="4" w:space="0"/>
            </w:tcBorders>
            <w:vAlign w:val="center"/>
          </w:tcPr>
          <w:p w14:paraId="2289EE55">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eastAsia="zh-CN"/>
              </w:rPr>
              <w:t>供应商</w:t>
            </w:r>
            <w:r>
              <w:rPr>
                <w:rFonts w:hint="eastAsia" w:ascii="仿宋" w:hAnsi="仿宋" w:eastAsia="仿宋" w:cs="仿宋"/>
                <w:sz w:val="24"/>
                <w:szCs w:val="24"/>
              </w:rPr>
              <w:t>每半年对安全装置做动作试验及调整一次。</w:t>
            </w:r>
          </w:p>
        </w:tc>
        <w:tc>
          <w:tcPr>
            <w:tcW w:w="990" w:type="dxa"/>
            <w:tcBorders>
              <w:top w:val="single" w:color="auto" w:sz="4" w:space="0"/>
              <w:left w:val="single" w:color="auto" w:sz="4" w:space="0"/>
              <w:bottom w:val="single" w:color="auto" w:sz="4" w:space="0"/>
              <w:right w:val="single" w:color="auto" w:sz="4" w:space="0"/>
            </w:tcBorders>
            <w:vAlign w:val="top"/>
          </w:tcPr>
          <w:p w14:paraId="521EED3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599BA4">
            <w:pPr>
              <w:rPr>
                <w:rFonts w:hint="eastAsia" w:ascii="宋体" w:hAnsi="宋体" w:eastAsia="宋体" w:cs="Arial"/>
                <w:color w:val="FF0000"/>
                <w:kern w:val="2"/>
                <w:sz w:val="22"/>
                <w:szCs w:val="22"/>
                <w:lang w:val="en-US" w:eastAsia="zh-CN" w:bidi="ar-SA"/>
              </w:rPr>
            </w:pPr>
          </w:p>
        </w:tc>
      </w:tr>
      <w:tr w14:paraId="636F2B55">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71EA7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5</w:t>
            </w:r>
          </w:p>
        </w:tc>
        <w:tc>
          <w:tcPr>
            <w:tcW w:w="6240" w:type="dxa"/>
            <w:tcBorders>
              <w:top w:val="single" w:color="auto" w:sz="4" w:space="0"/>
              <w:left w:val="single" w:color="auto" w:sz="4" w:space="0"/>
              <w:bottom w:val="single" w:color="auto" w:sz="4" w:space="0"/>
              <w:right w:val="single" w:color="auto" w:sz="4" w:space="0"/>
            </w:tcBorders>
            <w:vAlign w:val="center"/>
          </w:tcPr>
          <w:p w14:paraId="4AF17E55">
            <w:p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eastAsia="zh-CN"/>
              </w:rPr>
              <w:t>供应商</w:t>
            </w:r>
            <w:r>
              <w:rPr>
                <w:rFonts w:hint="eastAsia" w:ascii="仿宋" w:hAnsi="仿宋" w:eastAsia="仿宋" w:cs="仿宋"/>
                <w:sz w:val="24"/>
                <w:szCs w:val="24"/>
              </w:rPr>
              <w:t>向医院提供每年365日每日24小时电话响应服务，</w:t>
            </w:r>
            <w:r>
              <w:rPr>
                <w:rFonts w:hint="eastAsia" w:ascii="仿宋" w:hAnsi="仿宋" w:eastAsia="仿宋" w:cs="仿宋"/>
                <w:sz w:val="24"/>
                <w:szCs w:val="24"/>
                <w:lang w:eastAsia="zh-CN"/>
              </w:rPr>
              <w:t>供应商</w:t>
            </w:r>
            <w:r>
              <w:rPr>
                <w:rFonts w:hint="eastAsia" w:ascii="仿宋" w:hAnsi="仿宋" w:eastAsia="仿宋" w:cs="仿宋"/>
                <w:sz w:val="24"/>
                <w:szCs w:val="24"/>
              </w:rPr>
              <w:t>在接到医院咨询或报修电话后由</w:t>
            </w:r>
            <w:r>
              <w:rPr>
                <w:rFonts w:hint="eastAsia" w:ascii="仿宋" w:hAnsi="仿宋" w:eastAsia="仿宋" w:cs="仿宋"/>
                <w:sz w:val="24"/>
                <w:szCs w:val="24"/>
                <w:lang w:eastAsia="zh-CN"/>
              </w:rPr>
              <w:t>供应商</w:t>
            </w:r>
            <w:r>
              <w:rPr>
                <w:rFonts w:hint="eastAsia" w:ascii="仿宋" w:hAnsi="仿宋" w:eastAsia="仿宋" w:cs="仿宋"/>
                <w:sz w:val="24"/>
                <w:szCs w:val="24"/>
              </w:rPr>
              <w:t>售后服务工程师在30分钟内给予回复解决。若有必要赶到现场修理的，</w:t>
            </w:r>
            <w:r>
              <w:rPr>
                <w:rFonts w:hint="eastAsia" w:ascii="仿宋" w:hAnsi="仿宋" w:eastAsia="仿宋" w:cs="仿宋"/>
                <w:sz w:val="24"/>
                <w:szCs w:val="24"/>
                <w:lang w:eastAsia="zh-CN"/>
              </w:rPr>
              <w:t>供应商</w:t>
            </w:r>
            <w:r>
              <w:rPr>
                <w:rFonts w:hint="eastAsia" w:ascii="仿宋" w:hAnsi="仿宋" w:eastAsia="仿宋" w:cs="仿宋"/>
                <w:sz w:val="24"/>
                <w:szCs w:val="24"/>
              </w:rPr>
              <w:t>应及时安排服务人员上门修理并向医院提交维修报告</w:t>
            </w:r>
            <w:r>
              <w:rPr>
                <w:rFonts w:hint="eastAsia" w:ascii="仿宋" w:hAnsi="仿宋" w:eastAsia="仿宋" w:cs="仿宋"/>
                <w:sz w:val="24"/>
                <w:szCs w:val="24"/>
                <w:lang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40876E7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8AC6B9D">
            <w:pPr>
              <w:rPr>
                <w:rFonts w:hint="eastAsia" w:ascii="宋体" w:hAnsi="宋体" w:eastAsia="宋体" w:cs="Arial"/>
                <w:color w:val="FF0000"/>
                <w:kern w:val="2"/>
                <w:sz w:val="22"/>
                <w:szCs w:val="22"/>
                <w:lang w:val="en-US" w:eastAsia="zh-CN" w:bidi="ar-SA"/>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8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453"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DC63562">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服务内容</w:t>
            </w:r>
          </w:p>
        </w:tc>
        <w:tc>
          <w:tcPr>
            <w:tcW w:w="990" w:type="dxa"/>
            <w:tcBorders>
              <w:top w:val="single" w:color="auto" w:sz="4" w:space="0"/>
              <w:left w:val="single" w:color="auto" w:sz="4" w:space="0"/>
              <w:bottom w:val="single" w:color="auto" w:sz="4" w:space="0"/>
              <w:right w:val="single" w:color="auto" w:sz="4" w:space="0"/>
            </w:tcBorders>
            <w:vAlign w:val="top"/>
          </w:tcPr>
          <w:p w14:paraId="4B34BCFD">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spacing w:line="360" w:lineRule="auto"/>
              <w:jc w:val="both"/>
              <w:rPr>
                <w:rFonts w:hint="eastAsia" w:ascii="仿宋" w:hAnsi="仿宋" w:eastAsia="仿宋" w:cs="仿宋"/>
                <w:sz w:val="24"/>
                <w:szCs w:val="24"/>
                <w:lang w:val="en-US" w:eastAsia="zh-CN"/>
              </w:rPr>
            </w:pPr>
          </w:p>
        </w:tc>
      </w:tr>
      <w:tr w14:paraId="64D65E64">
        <w:tblPrEx>
          <w:tblCellMar>
            <w:top w:w="0" w:type="dxa"/>
            <w:left w:w="108" w:type="dxa"/>
            <w:bottom w:w="0" w:type="dxa"/>
            <w:right w:w="108" w:type="dxa"/>
          </w:tblCellMar>
        </w:tblPrEx>
        <w:trPr>
          <w:trHeight w:val="944"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11493936">
            <w:pPr>
              <w:spacing w:line="360" w:lineRule="auto"/>
              <w:jc w:val="both"/>
              <w:rPr>
                <w:rFonts w:hint="eastAsia" w:ascii="仿宋" w:hAnsi="仿宋" w:eastAsia="仿宋" w:cs="仿宋"/>
                <w:sz w:val="24"/>
                <w:szCs w:val="24"/>
              </w:rPr>
            </w:pPr>
            <w:r>
              <w:rPr>
                <w:rFonts w:hint="eastAsia" w:ascii="仿宋" w:hAnsi="仿宋" w:eastAsia="仿宋" w:cs="仿宋"/>
                <w:sz w:val="24"/>
                <w:szCs w:val="24"/>
              </w:rPr>
              <w:t>服务内容应包含维修服务材料</w:t>
            </w:r>
            <w:r>
              <w:rPr>
                <w:rFonts w:hint="eastAsia" w:ascii="仿宋" w:hAnsi="仿宋" w:eastAsia="仿宋" w:cs="仿宋"/>
                <w:sz w:val="24"/>
                <w:szCs w:val="24"/>
                <w:lang w:val="en-US" w:eastAsia="zh-CN"/>
              </w:rPr>
              <w:t>及</w:t>
            </w:r>
            <w:r>
              <w:rPr>
                <w:rFonts w:hint="eastAsia" w:ascii="仿宋" w:hAnsi="仿宋" w:eastAsia="仿宋" w:cs="仿宋"/>
                <w:sz w:val="24"/>
                <w:szCs w:val="24"/>
              </w:rPr>
              <w:t>配件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单价≤1000元</w:t>
            </w:r>
            <w:r>
              <w:rPr>
                <w:rFonts w:hint="eastAsia" w:ascii="仿宋" w:hAnsi="仿宋" w:eastAsia="仿宋" w:cs="仿宋"/>
                <w:sz w:val="24"/>
                <w:szCs w:val="24"/>
                <w:lang w:eastAsia="zh-CN"/>
              </w:rPr>
              <w:t>）</w:t>
            </w:r>
            <w:r>
              <w:rPr>
                <w:rFonts w:hint="eastAsia" w:ascii="仿宋" w:hAnsi="仿宋" w:eastAsia="仿宋" w:cs="仿宋"/>
                <w:sz w:val="24"/>
                <w:szCs w:val="24"/>
              </w:rPr>
              <w:t>、人工、机械、存储、运输、保险、劳保、各种税费及质量保证期间的一切费用，采购人不支付其他费用。</w:t>
            </w:r>
          </w:p>
        </w:tc>
        <w:tc>
          <w:tcPr>
            <w:tcW w:w="990" w:type="dxa"/>
            <w:tcBorders>
              <w:top w:val="single" w:color="auto" w:sz="4" w:space="0"/>
              <w:left w:val="single" w:color="auto" w:sz="4" w:space="0"/>
              <w:bottom w:val="single" w:color="auto" w:sz="4" w:space="0"/>
              <w:right w:val="single" w:color="auto" w:sz="4" w:space="0"/>
            </w:tcBorders>
            <w:vAlign w:val="top"/>
          </w:tcPr>
          <w:p w14:paraId="46F3189F">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spacing w:line="360" w:lineRule="auto"/>
              <w:jc w:val="both"/>
              <w:rPr>
                <w:rFonts w:hint="eastAsia" w:ascii="仿宋" w:hAnsi="仿宋" w:eastAsia="仿宋" w:cs="仿宋"/>
                <w:sz w:val="24"/>
                <w:szCs w:val="24"/>
                <w:lang w:val="en-US" w:eastAsia="zh-CN"/>
              </w:rPr>
            </w:pPr>
          </w:p>
        </w:tc>
      </w:tr>
      <w:tr w14:paraId="31271470">
        <w:tblPrEx>
          <w:tblCellMar>
            <w:top w:w="0" w:type="dxa"/>
            <w:left w:w="108" w:type="dxa"/>
            <w:bottom w:w="0" w:type="dxa"/>
            <w:right w:w="108" w:type="dxa"/>
          </w:tblCellMar>
        </w:tblPrEx>
        <w:trPr>
          <w:trHeight w:val="428" w:hRule="atLeast"/>
        </w:trPr>
        <w:tc>
          <w:tcPr>
            <w:tcW w:w="1221" w:type="dxa"/>
            <w:tcBorders>
              <w:top w:val="single" w:color="auto" w:sz="4" w:space="0"/>
              <w:left w:val="single" w:color="auto" w:sz="4" w:space="0"/>
              <w:bottom w:val="single" w:color="auto" w:sz="4" w:space="0"/>
              <w:right w:val="single" w:color="auto" w:sz="4" w:space="0"/>
            </w:tcBorders>
            <w:vAlign w:val="center"/>
          </w:tcPr>
          <w:p w14:paraId="024AFBA3">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5B801339">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供应商所提供的服务及货物须保证符合国家标准，且符合行业安全操作。</w:t>
            </w:r>
          </w:p>
        </w:tc>
        <w:tc>
          <w:tcPr>
            <w:tcW w:w="990" w:type="dxa"/>
            <w:tcBorders>
              <w:top w:val="single" w:color="auto" w:sz="4" w:space="0"/>
              <w:left w:val="single" w:color="auto" w:sz="4" w:space="0"/>
              <w:bottom w:val="single" w:color="auto" w:sz="4" w:space="0"/>
              <w:right w:val="single" w:color="auto" w:sz="4" w:space="0"/>
            </w:tcBorders>
            <w:vAlign w:val="top"/>
          </w:tcPr>
          <w:p w14:paraId="6E7E7D25">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469BCD0">
            <w:pPr>
              <w:spacing w:line="360" w:lineRule="auto"/>
              <w:jc w:val="both"/>
              <w:rPr>
                <w:rFonts w:hint="eastAsia" w:ascii="仿宋" w:hAnsi="仿宋" w:eastAsia="仿宋" w:cs="仿宋"/>
                <w:sz w:val="24"/>
                <w:szCs w:val="24"/>
                <w:lang w:val="en-US" w:eastAsia="zh-CN"/>
              </w:rPr>
            </w:pPr>
          </w:p>
        </w:tc>
      </w:tr>
      <w:tr w14:paraId="796D2A60">
        <w:tblPrEx>
          <w:tblCellMar>
            <w:top w:w="0" w:type="dxa"/>
            <w:left w:w="108" w:type="dxa"/>
            <w:bottom w:w="0" w:type="dxa"/>
            <w:right w:w="108" w:type="dxa"/>
          </w:tblCellMar>
        </w:tblPrEx>
        <w:trPr>
          <w:trHeight w:val="42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240" w:type="dxa"/>
            <w:tcBorders>
              <w:top w:val="single" w:color="auto" w:sz="4" w:space="0"/>
              <w:left w:val="single" w:color="auto" w:sz="4" w:space="0"/>
              <w:bottom w:val="single" w:color="auto" w:sz="4" w:space="0"/>
              <w:right w:val="single" w:color="auto" w:sz="4" w:space="0"/>
            </w:tcBorders>
            <w:vAlign w:val="center"/>
          </w:tcPr>
          <w:p w14:paraId="02E52E20">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供应商对维护服务所涉及的知识产权问题负责。</w:t>
            </w:r>
          </w:p>
        </w:tc>
        <w:tc>
          <w:tcPr>
            <w:tcW w:w="990" w:type="dxa"/>
            <w:tcBorders>
              <w:top w:val="single" w:color="auto" w:sz="4" w:space="0"/>
              <w:left w:val="single" w:color="auto" w:sz="4" w:space="0"/>
              <w:bottom w:val="single" w:color="auto" w:sz="4" w:space="0"/>
              <w:right w:val="single" w:color="auto" w:sz="4" w:space="0"/>
            </w:tcBorders>
            <w:vAlign w:val="top"/>
          </w:tcPr>
          <w:p w14:paraId="63C8604E">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spacing w:line="360" w:lineRule="auto"/>
              <w:jc w:val="both"/>
              <w:rPr>
                <w:rFonts w:hint="eastAsia" w:ascii="仿宋" w:hAnsi="仿宋" w:eastAsia="仿宋" w:cs="仿宋"/>
                <w:sz w:val="24"/>
                <w:szCs w:val="24"/>
                <w:lang w:val="en-US" w:eastAsia="zh-CN"/>
              </w:rPr>
            </w:pPr>
          </w:p>
        </w:tc>
      </w:tr>
      <w:tr w14:paraId="5772B10C">
        <w:tblPrEx>
          <w:tblCellMar>
            <w:top w:w="0" w:type="dxa"/>
            <w:left w:w="108" w:type="dxa"/>
            <w:bottom w:w="0" w:type="dxa"/>
            <w:right w:w="108" w:type="dxa"/>
          </w:tblCellMar>
        </w:tblPrEx>
        <w:trPr>
          <w:trHeight w:val="503" w:hRule="atLeast"/>
        </w:trPr>
        <w:tc>
          <w:tcPr>
            <w:tcW w:w="1221" w:type="dxa"/>
            <w:tcBorders>
              <w:top w:val="single" w:color="auto" w:sz="4" w:space="0"/>
              <w:left w:val="single" w:color="auto" w:sz="4" w:space="0"/>
              <w:bottom w:val="single" w:color="auto" w:sz="4" w:space="0"/>
              <w:right w:val="single" w:color="auto" w:sz="4" w:space="0"/>
            </w:tcBorders>
            <w:vAlign w:val="center"/>
          </w:tcPr>
          <w:p w14:paraId="6A73880D">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3265058F">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供应商提供的故障维修服务维保期内不限次数。</w:t>
            </w:r>
          </w:p>
        </w:tc>
        <w:tc>
          <w:tcPr>
            <w:tcW w:w="990" w:type="dxa"/>
            <w:tcBorders>
              <w:top w:val="single" w:color="auto" w:sz="4" w:space="0"/>
              <w:left w:val="single" w:color="auto" w:sz="4" w:space="0"/>
              <w:bottom w:val="single" w:color="auto" w:sz="4" w:space="0"/>
              <w:right w:val="single" w:color="auto" w:sz="4" w:space="0"/>
            </w:tcBorders>
            <w:vAlign w:val="top"/>
          </w:tcPr>
          <w:p w14:paraId="13BFA4CA">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0D7D60B">
            <w:pPr>
              <w:spacing w:line="360" w:lineRule="auto"/>
              <w:jc w:val="both"/>
              <w:rPr>
                <w:rFonts w:hint="eastAsia" w:ascii="仿宋" w:hAnsi="仿宋" w:eastAsia="仿宋" w:cs="仿宋"/>
                <w:sz w:val="24"/>
                <w:szCs w:val="24"/>
                <w:lang w:val="en-US" w:eastAsia="zh-CN"/>
              </w:rPr>
            </w:pPr>
          </w:p>
        </w:tc>
      </w:tr>
      <w:tr w14:paraId="0C30E5FA">
        <w:tblPrEx>
          <w:tblCellMar>
            <w:top w:w="0" w:type="dxa"/>
            <w:left w:w="108" w:type="dxa"/>
            <w:bottom w:w="0" w:type="dxa"/>
            <w:right w:w="108" w:type="dxa"/>
          </w:tblCellMar>
        </w:tblPrEx>
        <w:trPr>
          <w:trHeight w:val="1292" w:hRule="atLeast"/>
        </w:trPr>
        <w:tc>
          <w:tcPr>
            <w:tcW w:w="1221" w:type="dxa"/>
            <w:tcBorders>
              <w:top w:val="single" w:color="auto" w:sz="4" w:space="0"/>
              <w:left w:val="single" w:color="auto" w:sz="4" w:space="0"/>
              <w:bottom w:val="single" w:color="auto" w:sz="4" w:space="0"/>
              <w:right w:val="single" w:color="auto" w:sz="4" w:space="0"/>
            </w:tcBorders>
            <w:vAlign w:val="center"/>
          </w:tcPr>
          <w:p w14:paraId="2CC1E12A">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0A320816">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付款方式：合同签订之日起</w:t>
            </w:r>
            <w:r>
              <w:rPr>
                <w:rFonts w:hint="eastAsia" w:ascii="仿宋" w:hAnsi="仿宋" w:eastAsia="仿宋" w:cs="仿宋"/>
                <w:sz w:val="24"/>
                <w:szCs w:val="24"/>
                <w:lang w:val="en-US" w:eastAsia="zh-CN"/>
              </w:rPr>
              <w:t>6个月内</w:t>
            </w:r>
            <w:r>
              <w:rPr>
                <w:rFonts w:hint="eastAsia" w:ascii="仿宋" w:hAnsi="仿宋" w:eastAsia="仿宋" w:cs="仿宋"/>
                <w:sz w:val="24"/>
                <w:szCs w:val="24"/>
              </w:rPr>
              <w:t>由</w:t>
            </w:r>
            <w:r>
              <w:rPr>
                <w:rFonts w:hint="eastAsia" w:ascii="仿宋" w:hAnsi="仿宋" w:eastAsia="仿宋" w:cs="仿宋"/>
                <w:sz w:val="24"/>
                <w:szCs w:val="24"/>
                <w:lang w:val="en-US" w:eastAsia="zh-CN"/>
              </w:rPr>
              <w:t>采购人</w:t>
            </w:r>
            <w:r>
              <w:rPr>
                <w:rFonts w:hint="eastAsia" w:ascii="仿宋" w:hAnsi="仿宋" w:eastAsia="仿宋" w:cs="仿宋"/>
                <w:sz w:val="24"/>
                <w:szCs w:val="24"/>
              </w:rPr>
              <w:t>向</w:t>
            </w:r>
            <w:r>
              <w:rPr>
                <w:rFonts w:hint="eastAsia" w:ascii="仿宋" w:hAnsi="仿宋" w:eastAsia="仿宋" w:cs="仿宋"/>
                <w:sz w:val="24"/>
                <w:szCs w:val="24"/>
                <w:lang w:val="en-US" w:eastAsia="zh-CN"/>
              </w:rPr>
              <w:t>中选供应商</w:t>
            </w:r>
            <w:r>
              <w:rPr>
                <w:rFonts w:hint="eastAsia" w:ascii="仿宋" w:hAnsi="仿宋" w:eastAsia="仿宋" w:cs="仿宋"/>
                <w:sz w:val="24"/>
                <w:szCs w:val="24"/>
              </w:rPr>
              <w:t>支付本合同总价50%的款项，</w:t>
            </w:r>
            <w:r>
              <w:rPr>
                <w:rFonts w:hint="eastAsia" w:ascii="仿宋" w:hAnsi="仿宋" w:eastAsia="仿宋" w:cs="仿宋"/>
                <w:sz w:val="24"/>
                <w:szCs w:val="24"/>
                <w:lang w:val="en-US" w:eastAsia="zh-CN"/>
              </w:rPr>
              <w:t>维保服务完成并验收合格</w:t>
            </w:r>
            <w:r>
              <w:rPr>
                <w:rFonts w:hint="eastAsia" w:ascii="仿宋" w:hAnsi="仿宋" w:eastAsia="仿宋" w:cs="仿宋"/>
                <w:sz w:val="24"/>
                <w:szCs w:val="24"/>
              </w:rPr>
              <w:t>后</w:t>
            </w:r>
            <w:r>
              <w:rPr>
                <w:rFonts w:hint="eastAsia" w:ascii="仿宋" w:hAnsi="仿宋" w:eastAsia="仿宋" w:cs="仿宋"/>
                <w:sz w:val="24"/>
                <w:szCs w:val="24"/>
                <w:lang w:val="en-US" w:eastAsia="zh-CN"/>
              </w:rPr>
              <w:t>采购人</w:t>
            </w:r>
            <w:r>
              <w:rPr>
                <w:rFonts w:hint="eastAsia" w:ascii="仿宋" w:hAnsi="仿宋" w:eastAsia="仿宋" w:cs="仿宋"/>
                <w:sz w:val="24"/>
                <w:szCs w:val="24"/>
              </w:rPr>
              <w:t>向</w:t>
            </w:r>
            <w:r>
              <w:rPr>
                <w:rFonts w:hint="eastAsia" w:ascii="仿宋" w:hAnsi="仿宋" w:eastAsia="仿宋" w:cs="仿宋"/>
                <w:sz w:val="24"/>
                <w:szCs w:val="24"/>
                <w:lang w:val="en-US" w:eastAsia="zh-CN"/>
              </w:rPr>
              <w:t>中选供应商</w:t>
            </w:r>
            <w:r>
              <w:rPr>
                <w:rFonts w:hint="eastAsia" w:ascii="仿宋" w:hAnsi="仿宋" w:eastAsia="仿宋" w:cs="仿宋"/>
                <w:sz w:val="24"/>
                <w:szCs w:val="24"/>
              </w:rPr>
              <w:t>支付本合同总价50%的款项。</w:t>
            </w:r>
          </w:p>
        </w:tc>
        <w:tc>
          <w:tcPr>
            <w:tcW w:w="990" w:type="dxa"/>
            <w:tcBorders>
              <w:top w:val="single" w:color="auto" w:sz="4" w:space="0"/>
              <w:left w:val="single" w:color="auto" w:sz="4" w:space="0"/>
              <w:bottom w:val="single" w:color="auto" w:sz="4" w:space="0"/>
              <w:right w:val="single" w:color="auto" w:sz="4" w:space="0"/>
            </w:tcBorders>
            <w:vAlign w:val="top"/>
          </w:tcPr>
          <w:p w14:paraId="5B487092">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636708">
            <w:pPr>
              <w:spacing w:line="360" w:lineRule="auto"/>
              <w:jc w:val="both"/>
              <w:rPr>
                <w:rFonts w:hint="eastAsia" w:ascii="仿宋" w:hAnsi="仿宋" w:eastAsia="仿宋" w:cs="仿宋"/>
                <w:sz w:val="24"/>
                <w:szCs w:val="24"/>
                <w:lang w:val="en-US" w:eastAsia="zh-CN"/>
              </w:rPr>
            </w:pPr>
          </w:p>
        </w:tc>
      </w:tr>
      <w:tr w14:paraId="2359C148">
        <w:tblPrEx>
          <w:tblCellMar>
            <w:top w:w="0" w:type="dxa"/>
            <w:left w:w="108" w:type="dxa"/>
            <w:bottom w:w="0" w:type="dxa"/>
            <w:right w:w="108" w:type="dxa"/>
          </w:tblCellMar>
        </w:tblPrEx>
        <w:trPr>
          <w:trHeight w:val="263" w:hRule="atLeast"/>
        </w:trPr>
        <w:tc>
          <w:tcPr>
            <w:tcW w:w="1221" w:type="dxa"/>
            <w:tcBorders>
              <w:top w:val="single" w:color="auto" w:sz="4" w:space="0"/>
              <w:left w:val="single" w:color="auto" w:sz="4" w:space="0"/>
              <w:bottom w:val="single" w:color="auto" w:sz="4" w:space="0"/>
              <w:right w:val="single" w:color="auto" w:sz="4" w:space="0"/>
            </w:tcBorders>
            <w:vAlign w:val="center"/>
          </w:tcPr>
          <w:p w14:paraId="4AC305E1">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2CCC4FCE">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服务期限：</w:t>
            </w:r>
            <w:r>
              <w:rPr>
                <w:rFonts w:hint="eastAsia" w:ascii="仿宋" w:hAnsi="仿宋" w:eastAsia="仿宋" w:cs="仿宋"/>
                <w:sz w:val="24"/>
                <w:szCs w:val="24"/>
                <w:lang w:val="en-US" w:eastAsia="zh-CN"/>
              </w:rPr>
              <w:t>自</w:t>
            </w:r>
            <w:r>
              <w:rPr>
                <w:rFonts w:hint="eastAsia" w:ascii="仿宋" w:hAnsi="仿宋" w:eastAsia="仿宋" w:cs="仿宋"/>
                <w:sz w:val="24"/>
                <w:szCs w:val="24"/>
              </w:rPr>
              <w:t>合同</w:t>
            </w:r>
            <w:r>
              <w:rPr>
                <w:rFonts w:hint="eastAsia" w:ascii="仿宋" w:hAnsi="仿宋" w:eastAsia="仿宋" w:cs="仿宋"/>
                <w:sz w:val="24"/>
                <w:szCs w:val="24"/>
                <w:lang w:val="en-US" w:eastAsia="zh-CN"/>
              </w:rPr>
              <w:t>签订之日起壹年</w:t>
            </w:r>
            <w:r>
              <w:rPr>
                <w:rFonts w:hint="eastAsia" w:ascii="仿宋" w:hAnsi="仿宋" w:eastAsia="仿宋" w:cs="仿宋"/>
                <w:sz w:val="24"/>
                <w:szCs w:val="24"/>
              </w:rPr>
              <w:t>。</w:t>
            </w:r>
          </w:p>
        </w:tc>
        <w:tc>
          <w:tcPr>
            <w:tcW w:w="990" w:type="dxa"/>
            <w:tcBorders>
              <w:top w:val="single" w:color="auto" w:sz="4" w:space="0"/>
              <w:left w:val="single" w:color="auto" w:sz="4" w:space="0"/>
              <w:bottom w:val="single" w:color="auto" w:sz="4" w:space="0"/>
              <w:right w:val="single" w:color="auto" w:sz="4" w:space="0"/>
            </w:tcBorders>
            <w:vAlign w:val="top"/>
          </w:tcPr>
          <w:p w14:paraId="7318EAA9">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BE1CF07">
            <w:pPr>
              <w:spacing w:line="360" w:lineRule="auto"/>
              <w:jc w:val="both"/>
              <w:rPr>
                <w:rFonts w:hint="eastAsia" w:ascii="仿宋" w:hAnsi="仿宋" w:eastAsia="仿宋" w:cs="仿宋"/>
                <w:sz w:val="24"/>
                <w:szCs w:val="24"/>
                <w:lang w:val="en-US" w:eastAsia="zh-CN"/>
              </w:rPr>
            </w:pPr>
          </w:p>
        </w:tc>
      </w:tr>
      <w:tr w14:paraId="5C041AC0">
        <w:tblPrEx>
          <w:tblCellMar>
            <w:top w:w="0" w:type="dxa"/>
            <w:left w:w="108" w:type="dxa"/>
            <w:bottom w:w="0" w:type="dxa"/>
            <w:right w:w="108" w:type="dxa"/>
          </w:tblCellMar>
        </w:tblPrEx>
        <w:trPr>
          <w:trHeight w:val="713" w:hRule="atLeast"/>
        </w:trPr>
        <w:tc>
          <w:tcPr>
            <w:tcW w:w="1221" w:type="dxa"/>
            <w:tcBorders>
              <w:top w:val="single" w:color="auto" w:sz="4" w:space="0"/>
              <w:left w:val="single" w:color="auto" w:sz="4" w:space="0"/>
              <w:bottom w:val="single" w:color="auto" w:sz="4" w:space="0"/>
              <w:right w:val="single" w:color="auto" w:sz="4" w:space="0"/>
            </w:tcBorders>
            <w:vAlign w:val="center"/>
          </w:tcPr>
          <w:p w14:paraId="424192E7">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12DD24D5">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验收：每次维修服务由</w:t>
            </w:r>
            <w:r>
              <w:rPr>
                <w:rFonts w:hint="eastAsia" w:ascii="仿宋" w:hAnsi="仿宋" w:eastAsia="仿宋" w:cs="仿宋"/>
                <w:sz w:val="24"/>
                <w:szCs w:val="24"/>
                <w:lang w:val="en-US" w:eastAsia="zh-CN"/>
              </w:rPr>
              <w:t>中选</w:t>
            </w:r>
            <w:r>
              <w:rPr>
                <w:rFonts w:hint="eastAsia" w:ascii="仿宋" w:hAnsi="仿宋" w:eastAsia="仿宋" w:cs="仿宋"/>
                <w:sz w:val="24"/>
                <w:szCs w:val="24"/>
              </w:rPr>
              <w:t>供应商填写维修服务报告单并由采购单位使用科室签字</w:t>
            </w:r>
            <w:r>
              <w:rPr>
                <w:rFonts w:hint="eastAsia" w:ascii="仿宋" w:hAnsi="仿宋" w:eastAsia="仿宋" w:cs="仿宋"/>
                <w:sz w:val="24"/>
                <w:szCs w:val="24"/>
                <w:lang w:eastAsia="zh-CN"/>
              </w:rPr>
              <w:t>确认</w:t>
            </w:r>
            <w:r>
              <w:rPr>
                <w:rFonts w:hint="eastAsia" w:ascii="仿宋" w:hAnsi="仿宋" w:eastAsia="仿宋" w:cs="仿宋"/>
                <w:sz w:val="24"/>
                <w:szCs w:val="24"/>
              </w:rPr>
              <w:t xml:space="preserve">。 </w:t>
            </w:r>
          </w:p>
        </w:tc>
        <w:tc>
          <w:tcPr>
            <w:tcW w:w="990" w:type="dxa"/>
            <w:tcBorders>
              <w:top w:val="single" w:color="auto" w:sz="4" w:space="0"/>
              <w:left w:val="single" w:color="auto" w:sz="4" w:space="0"/>
              <w:bottom w:val="single" w:color="auto" w:sz="4" w:space="0"/>
              <w:right w:val="single" w:color="auto" w:sz="4" w:space="0"/>
            </w:tcBorders>
            <w:vAlign w:val="top"/>
          </w:tcPr>
          <w:p w14:paraId="6BD44905">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CFD1FE2">
            <w:pPr>
              <w:spacing w:line="360" w:lineRule="auto"/>
              <w:jc w:val="both"/>
              <w:rPr>
                <w:rFonts w:hint="eastAsia" w:ascii="仿宋" w:hAnsi="仿宋" w:eastAsia="仿宋" w:cs="仿宋"/>
                <w:sz w:val="24"/>
                <w:szCs w:val="24"/>
                <w:lang w:val="en-US" w:eastAsia="zh-CN"/>
              </w:rPr>
            </w:pPr>
          </w:p>
        </w:tc>
      </w:tr>
    </w:tbl>
    <w:p w14:paraId="6052A0F9">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17E2A82"/>
    <w:rsid w:val="02E5725D"/>
    <w:rsid w:val="02E96621"/>
    <w:rsid w:val="02F456F2"/>
    <w:rsid w:val="03247659"/>
    <w:rsid w:val="034B2E38"/>
    <w:rsid w:val="03EC461B"/>
    <w:rsid w:val="045F4DED"/>
    <w:rsid w:val="054B3B83"/>
    <w:rsid w:val="055511AF"/>
    <w:rsid w:val="05551D4C"/>
    <w:rsid w:val="05CF5FA2"/>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9636CF"/>
    <w:rsid w:val="10D4446D"/>
    <w:rsid w:val="1103064A"/>
    <w:rsid w:val="115F467E"/>
    <w:rsid w:val="12661A3D"/>
    <w:rsid w:val="1376180B"/>
    <w:rsid w:val="139265EA"/>
    <w:rsid w:val="147F6DE6"/>
    <w:rsid w:val="14BD1E65"/>
    <w:rsid w:val="15FB06EE"/>
    <w:rsid w:val="16844909"/>
    <w:rsid w:val="16E86EC4"/>
    <w:rsid w:val="176522C3"/>
    <w:rsid w:val="17D20492"/>
    <w:rsid w:val="181304AC"/>
    <w:rsid w:val="18526AF9"/>
    <w:rsid w:val="18C005CB"/>
    <w:rsid w:val="191E4E1F"/>
    <w:rsid w:val="19341F4D"/>
    <w:rsid w:val="19622F5E"/>
    <w:rsid w:val="19C37774"/>
    <w:rsid w:val="1A7F5449"/>
    <w:rsid w:val="1A9469A8"/>
    <w:rsid w:val="1A9A4BCF"/>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25B2C40"/>
    <w:rsid w:val="22FD5AA5"/>
    <w:rsid w:val="239C6211"/>
    <w:rsid w:val="23C87E61"/>
    <w:rsid w:val="24233AFC"/>
    <w:rsid w:val="2423778D"/>
    <w:rsid w:val="2441528D"/>
    <w:rsid w:val="24457704"/>
    <w:rsid w:val="24AE3CD0"/>
    <w:rsid w:val="24B457FE"/>
    <w:rsid w:val="26996F50"/>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20C4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0E657D"/>
    <w:rsid w:val="3F3B3785"/>
    <w:rsid w:val="3F8C2233"/>
    <w:rsid w:val="3F964E60"/>
    <w:rsid w:val="40610FCA"/>
    <w:rsid w:val="40FE4A6B"/>
    <w:rsid w:val="412650B1"/>
    <w:rsid w:val="416A1975"/>
    <w:rsid w:val="41E53940"/>
    <w:rsid w:val="42116A20"/>
    <w:rsid w:val="425F778B"/>
    <w:rsid w:val="42BB3023"/>
    <w:rsid w:val="4345762A"/>
    <w:rsid w:val="44C87B5F"/>
    <w:rsid w:val="44DF2E05"/>
    <w:rsid w:val="451714F6"/>
    <w:rsid w:val="45516AEC"/>
    <w:rsid w:val="476A10AC"/>
    <w:rsid w:val="47937145"/>
    <w:rsid w:val="47B5428C"/>
    <w:rsid w:val="47F623C8"/>
    <w:rsid w:val="48691363"/>
    <w:rsid w:val="488E2B78"/>
    <w:rsid w:val="48C447EC"/>
    <w:rsid w:val="48FF5F5C"/>
    <w:rsid w:val="49683303"/>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700DFC"/>
    <w:rsid w:val="4C8F5111"/>
    <w:rsid w:val="4C983FC5"/>
    <w:rsid w:val="4CC748AA"/>
    <w:rsid w:val="4D7D059C"/>
    <w:rsid w:val="4D9329DF"/>
    <w:rsid w:val="4DCD0948"/>
    <w:rsid w:val="4E604FB7"/>
    <w:rsid w:val="4F4E12B3"/>
    <w:rsid w:val="4F8275BE"/>
    <w:rsid w:val="4F9842DC"/>
    <w:rsid w:val="4FAE4CD6"/>
    <w:rsid w:val="4FCE303D"/>
    <w:rsid w:val="4FE85264"/>
    <w:rsid w:val="5076286F"/>
    <w:rsid w:val="508934D4"/>
    <w:rsid w:val="50A7496A"/>
    <w:rsid w:val="51213460"/>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4E6EFC"/>
    <w:rsid w:val="59452A2C"/>
    <w:rsid w:val="59E3084A"/>
    <w:rsid w:val="59F36D13"/>
    <w:rsid w:val="5A301F2D"/>
    <w:rsid w:val="5A3827D9"/>
    <w:rsid w:val="5A661E4F"/>
    <w:rsid w:val="5AAE6289"/>
    <w:rsid w:val="5AC8016B"/>
    <w:rsid w:val="5AD22D98"/>
    <w:rsid w:val="5B0171D9"/>
    <w:rsid w:val="5B13515F"/>
    <w:rsid w:val="5B4B2B4A"/>
    <w:rsid w:val="5B841BB9"/>
    <w:rsid w:val="5BCD17B1"/>
    <w:rsid w:val="5BEC60DC"/>
    <w:rsid w:val="5C714468"/>
    <w:rsid w:val="5CAF5FE8"/>
    <w:rsid w:val="5D445AA3"/>
    <w:rsid w:val="5D68419A"/>
    <w:rsid w:val="5D921D6B"/>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F30067"/>
    <w:rsid w:val="660B3602"/>
    <w:rsid w:val="6703088E"/>
    <w:rsid w:val="67A52D65"/>
    <w:rsid w:val="683A1F7D"/>
    <w:rsid w:val="685017A0"/>
    <w:rsid w:val="68680898"/>
    <w:rsid w:val="69791802"/>
    <w:rsid w:val="697F1322"/>
    <w:rsid w:val="69C13E71"/>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A3C3DD9"/>
    <w:rsid w:val="7B2A5E81"/>
    <w:rsid w:val="7B3D5BB4"/>
    <w:rsid w:val="7B533629"/>
    <w:rsid w:val="7B652CB3"/>
    <w:rsid w:val="7BC10593"/>
    <w:rsid w:val="7BDF6C6B"/>
    <w:rsid w:val="7C5E4034"/>
    <w:rsid w:val="7CD77733"/>
    <w:rsid w:val="7D214B42"/>
    <w:rsid w:val="7D2A03BA"/>
    <w:rsid w:val="7D6C452F"/>
    <w:rsid w:val="7DC97BD3"/>
    <w:rsid w:val="7ED44A81"/>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3"/>
    <w:basedOn w:val="1"/>
    <w:unhideWhenUsed/>
    <w:qFormat/>
    <w:uiPriority w:val="99"/>
    <w:pPr>
      <w:spacing w:after="120"/>
      <w:ind w:left="420" w:leftChars="200"/>
    </w:pPr>
    <w:rPr>
      <w:rFonts w:cs="Times New Roman"/>
      <w:sz w:val="16"/>
      <w:szCs w:val="16"/>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1221</Words>
  <Characters>1291</Characters>
  <Lines>0</Lines>
  <Paragraphs>0</Paragraphs>
  <TotalTime>17</TotalTime>
  <ScaleCrop>false</ScaleCrop>
  <LinksUpToDate>false</LinksUpToDate>
  <CharactersWithSpaces>1294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伞迦楠</cp:lastModifiedBy>
  <cp:lastPrinted>2024-09-09T06:28:00Z</cp:lastPrinted>
  <dcterms:modified xsi:type="dcterms:W3CDTF">2026-01-14T08:35:35Z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C099A2B6E2614976B7EF4CE0607DA06D_13</vt:lpwstr>
  </property>
  <property fmtid="{D5CDD505-2E9C-101B-9397-08002B2CF9AE}" pid="4" name="KSOTemplateDocerSaveRecord">
    <vt:lpwstr>eyJoZGlkIjoiZjlmYjEyODZmMGNmMmJlOTcyNjMxNzExYzdiODA2MTciLCJ1c2VySWQiOiI5OTE3NjU2MTAifQ==</vt:lpwstr>
  </property>
</Properties>
</file>