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359"/>
        <w:gridCol w:w="2286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5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适应症：适用于非器质性失眠的治疗，比如更年期失眠、产后失眠、老年性失眠，焦虑、抑郁、心因性失眠，昼夜节律失调型睡眠障碍，大脑神经功能紊乱，偏头痛等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3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用途：非器质性失眠症辅助治疗设备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4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配置≥15寸液晶屏，带触摸操作功能，同屏显示治疗参数、动态治疗波形、输出强度指示等。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7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可选择治疗模式≥4种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1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内置软件控制系统，软件系统终身维护。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4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治疗强度可调，强度调节范围≥30档，可根据患者耐受程度调节大小。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8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治疗时间可调，步长为1分钟，显示倒计时，治疗结束自动报警。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治疗输出通道不少于2通道。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A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刺激信号：恒流源，电脉冲刺激。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2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电刺激频率连续每秒不重复，避免机体适应性，实时显示刺激频率。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C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电刺激脉冲频率在600Hz-1500Hz范围之内。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电刺激脉冲宽度范围50-150μs。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9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电刺激脉冲幅度:≤20V。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5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电刺激信号输出峰值电流:≤10mA。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E130">
            <w:pPr>
              <w:pStyle w:val="22"/>
              <w:numPr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负载阻抗参数:500</w:t>
            </w:r>
            <w:r>
              <w:rPr>
                <w:rFonts w:hint="eastAsia" w:ascii="宋体" w:hAnsi="宋体"/>
                <w:szCs w:val="21"/>
              </w:rPr>
              <w:t>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/>
                <w:szCs w:val="21"/>
              </w:rPr>
              <w:t>负载阻抗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≤2000</w:t>
            </w:r>
            <w:r>
              <w:rPr>
                <w:rFonts w:hint="eastAsia" w:ascii="宋体" w:hAnsi="宋体"/>
                <w:szCs w:val="21"/>
              </w:rPr>
              <w:t>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9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负载阻抗参数对频率、脉宽影响:≤±20%。</w:t>
            </w:r>
            <w:bookmarkStart w:id="1" w:name="_GoBack"/>
            <w:bookmarkEnd w:id="1"/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C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F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防电击程度类型:Ⅱ类。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0D0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95C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18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1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9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使用寿命≥8年。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47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D9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AAC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DC48CA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527</Characters>
  <Lines>0</Lines>
  <Paragraphs>0</Paragraphs>
  <TotalTime>2</TotalTime>
  <ScaleCrop>false</ScaleCrop>
  <LinksUpToDate>false</LinksUpToDate>
  <CharactersWithSpaces>527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风幻</cp:lastModifiedBy>
  <cp:lastPrinted>2025-05-29T02:18:00Z</cp:lastPrinted>
  <dcterms:modified xsi:type="dcterms:W3CDTF">2025-12-30T14:20:01Z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8B714B94CE3D4C628B0FFEF3BB2FBE54_13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