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手摇式病床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外形尺寸：长度2140±50mm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床体宽度960±10mm，高500mm</w:t>
            </w:r>
            <w:r>
              <w:rPr>
                <w:rFonts w:hint="eastAsia" w:ascii="宋体" w:hAnsi="宋体" w:cs="宋体"/>
                <w:sz w:val="24"/>
                <w:szCs w:val="24"/>
              </w:rPr>
              <w:t>±10mm，床面1940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24"/>
                <w:szCs w:val="24"/>
              </w:rPr>
              <w:t>×840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24"/>
                <w:szCs w:val="24"/>
              </w:rPr>
              <w:t>±10mm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背部倾斜角度80±5°；腿部倾斜角度35±5°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静态承载重量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≥250kg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调节承载重量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≥200kg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背部床面采用双支撑结构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侧面护栏为全覆式，总长≥1480mm，展开时高度≥400mm；六支“J”不锈钢护栏支柱，锁键保险快速定位开关有防夹手功能，四指握位保险块的可握尺寸≥85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C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两组摇杆，分别控制背部、腿部床板升降功能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摇手：外部优质ABS强化塑胶材质，内镶镀锌钢件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摇杆：45#钢十字接头，不锈钢伸缩杆，45#模具钢螺杆，优质φ32*2.0mm电镀钢质支撑管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1B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材质工艺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六支“J”不锈钢护栏支柱，锁键保险快速定位开关有防夹手功能，四指握位保险块的可握尺寸≥85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mm；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护栏操作手柄采用锌铝合金压铸成型，开关上没有尖角，护栏红枪把手铁芯为实心方形结构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质冷扎板一次冲压成型喷涂床面板，采用加强肋冲椭圆孔生产工艺，每个孔位都有加强肋的结构设计，每块冲压床面四周有≥2加强筋设计，防止酸洗液残留的同时还可以起到床面加强的作用；每块床面板都有光滑过渡的圆角，圆角为一次模压成型生成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床框两侧前后具备4个点滴架插孔，4个点滴杆挂钩，点滴架不用时可放置于床框两侧底部，床框底部两侧具备2个引流尿袋挂钩，床框两头由注塑ABS原包料材质管塞封口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6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床头尾板全ABS强化塑胶材料，一次吹塑成形。插入式结构床头床尾板、防撞轮采用吹塑中空结构，防撞轮直径≥75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。吹塑结构的防撞轮在保证产品强度强度的同时还可以减轻床头重量。床头床尾板采用前后有尺寸长50±5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×宽35±5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×深5±1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椭圆加强孔，增加床头板的强度的同时可以根据需求加装科室名称的水晶贴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整体采用脱脂、水洗、酸洗、水洗、中和、磷化、水洗等≥7道喷涂前处理工艺，增加酸洗后的磷化层保证产品喷涂不易脱落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3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53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5寸(φ130脚轮)豪华双面刹车轮四只，高稳定刹车系统，刹车稳定方便。脚轮主体采用铝合金压铸工艺，双饼轮设计以增加着地面积，增加稳定性，刹车踏板装置，制动性能好，稳定性强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C0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C4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FB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28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4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床头床尾板采用插销焊接的挂式结构，挂钩的尺寸为直径≥9.5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,挂钩材质为硬质合金钢材质并经过热处理工艺，保证挂钩耐磨不变形，挂钩表面硬度≥65HRC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7D9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AA8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5D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6A7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CD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床垫：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环保棕床垫优于国家标准GB/T26706-2011的相关要求，甲醛释放量≤0.030mg/m²h、泡沫塑料密度≥30KG/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³、含水率≤5%、压缩永久变形率≤6%、面料克重≥300G/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²、缝纫没有跳单针和跳双针的情况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5A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CE6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F4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817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DA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配置清单：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床垫1张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ABS四钩伸缩输液杆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杂物篮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个、5寸插杆静音轮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ABS床头床尾板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餐桌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带不锈钢贴面ABS床头柜一个。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73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12C5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14B4D56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84240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874CE6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1376</Characters>
  <Lines>0</Lines>
  <Paragraphs>0</Paragraphs>
  <TotalTime>0</TotalTime>
  <ScaleCrop>false</ScaleCrop>
  <LinksUpToDate>false</LinksUpToDate>
  <CharactersWithSpaces>1380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2025-08-08T07:47:23Z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7D28EDF48E6348E5A6E62BF2C89E5E24_13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