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江西中医药大学附属医院xxx的采购项目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423603B">
      <w:pPr>
        <w:widowControl/>
        <w:ind w:right="210"/>
        <w:jc w:val="right"/>
        <w:rPr>
          <w:rFonts w:hint="eastAsia" w:ascii="仿宋" w:hAnsi="仿宋" w:eastAsia="仿宋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 w14:paraId="615EA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E033AEC"/>
    <w:rsid w:val="2E1353C4"/>
    <w:rsid w:val="3332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1182</Characters>
  <Lines>0</Lines>
  <Paragraphs>0</Paragraphs>
  <TotalTime>0</TotalTime>
  <ScaleCrop>false</ScaleCrop>
  <LinksUpToDate>false</LinksUpToDate>
  <CharactersWithSpaces>1187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张佳佳</cp:lastModifiedBy>
  <dcterms:modified xsi:type="dcterms:W3CDTF">2025-07-22T08:13:35Z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eyJoZGlkIjoiMmNiZTYwOTM1ZjAxNDNkYTZiZTM4NTkyNWE2YjQ4ZmEiLCJ1c2VySWQiOiIxNjQ2MjM1NTQ3In0=</vt:lpwstr>
  </property>
  <property fmtid="{D5CDD505-2E9C-101B-9397-08002B2CF9AE}" pid="4" name="ICV">
    <vt:lpwstr>F10F1EFF71BB4E1D8C116639BDCDEAC9_12</vt:lpwstr>
  </property>
</Properties>
</file>