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8C5F4">
      <w:pPr>
        <w:spacing w:line="460" w:lineRule="atLeast"/>
        <w:jc w:val="center"/>
        <w:rPr>
          <w:rFonts w:hint="eastAsia" w:ascii="Times New Roman" w:hAnsi="Times New Roman"/>
          <w:b/>
          <w:bCs/>
          <w:color w:val="000000"/>
          <w:sz w:val="32"/>
          <w:szCs w:val="40"/>
          <w:lang w:val="en-US" w:eastAsia="zh-CN"/>
        </w:rPr>
      </w:pPr>
      <w:r>
        <w:rPr>
          <w:rFonts w:hint="default" w:ascii="Times New Roman" w:hAnsi="Times New Roman"/>
          <w:b/>
          <w:bCs/>
          <w:color w:val="000000"/>
          <w:sz w:val="32"/>
          <w:szCs w:val="40"/>
          <w:lang w:val="en-US" w:eastAsia="zh-CN"/>
        </w:rPr>
        <w:t>飞秒激光机维保服务</w:t>
      </w:r>
      <w:r>
        <w:rPr>
          <w:rFonts w:hint="eastAsia" w:ascii="Times New Roman" w:hAnsi="Times New Roman"/>
          <w:b/>
          <w:bCs/>
          <w:color w:val="000000"/>
          <w:sz w:val="32"/>
          <w:szCs w:val="40"/>
          <w:lang w:val="en-US" w:eastAsia="zh-CN"/>
        </w:rPr>
        <w:t>采购项目</w:t>
      </w:r>
    </w:p>
    <w:p w14:paraId="14B2AD8C">
      <w:pPr>
        <w:spacing w:line="460" w:lineRule="atLeast"/>
        <w:rPr>
          <w:rFonts w:ascii="Times New Roman" w:hAnsi="Times New Roman"/>
          <w:color w:val="000000"/>
        </w:rPr>
      </w:pPr>
      <w:r>
        <w:rPr>
          <w:rFonts w:hint="eastAsia" w:ascii="Times New Roman" w:hAnsi="Times New Roman"/>
          <w:b/>
          <w:bCs/>
          <w:color w:val="000000"/>
        </w:rPr>
        <w:t>一、</w:t>
      </w:r>
      <w:r>
        <w:rPr>
          <w:rFonts w:ascii="Times New Roman" w:hAnsi="Times New Roman"/>
          <w:b/>
          <w:bCs/>
          <w:color w:val="000000"/>
        </w:rPr>
        <w:t>采购服务项目一览表</w:t>
      </w:r>
    </w:p>
    <w:tbl>
      <w:tblPr>
        <w:tblStyle w:val="6"/>
        <w:tblW w:w="8022" w:type="dxa"/>
        <w:jc w:val="center"/>
        <w:tblLayout w:type="fixed"/>
        <w:tblCellMar>
          <w:top w:w="0" w:type="dxa"/>
          <w:left w:w="108" w:type="dxa"/>
          <w:bottom w:w="0" w:type="dxa"/>
          <w:right w:w="108" w:type="dxa"/>
        </w:tblCellMar>
      </w:tblPr>
      <w:tblGrid>
        <w:gridCol w:w="1373"/>
        <w:gridCol w:w="1026"/>
        <w:gridCol w:w="1108"/>
        <w:gridCol w:w="1332"/>
        <w:gridCol w:w="1084"/>
        <w:gridCol w:w="972"/>
        <w:gridCol w:w="1127"/>
      </w:tblGrid>
      <w:tr w14:paraId="4BCBE863">
        <w:tblPrEx>
          <w:tblCellMar>
            <w:top w:w="0" w:type="dxa"/>
            <w:left w:w="108" w:type="dxa"/>
            <w:bottom w:w="0" w:type="dxa"/>
            <w:right w:w="108" w:type="dxa"/>
          </w:tblCellMar>
        </w:tblPrEx>
        <w:trPr>
          <w:trHeight w:val="63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A3B84D2">
            <w:pPr>
              <w:spacing w:line="460" w:lineRule="atLeast"/>
              <w:jc w:val="center"/>
              <w:rPr>
                <w:rFonts w:ascii="Times New Roman" w:hAnsi="Times New Roman"/>
                <w:color w:val="000000"/>
              </w:rPr>
            </w:pPr>
            <w:r>
              <w:rPr>
                <w:rFonts w:ascii="Times New Roman" w:hAnsi="Times New Roman"/>
                <w:b/>
                <w:color w:val="000000"/>
              </w:rPr>
              <w:t>项目名称</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C1E8E2F">
            <w:pPr>
              <w:spacing w:line="460" w:lineRule="atLeast"/>
              <w:jc w:val="center"/>
              <w:rPr>
                <w:rFonts w:ascii="Times New Roman" w:hAnsi="Times New Roman"/>
                <w:b/>
                <w:color w:val="000000"/>
              </w:rPr>
            </w:pPr>
            <w:r>
              <w:rPr>
                <w:rFonts w:ascii="Times New Roman" w:hAnsi="Times New Roman"/>
                <w:b/>
                <w:color w:val="000000"/>
              </w:rPr>
              <w:t>数量</w:t>
            </w:r>
          </w:p>
          <w:p w14:paraId="3753FD6E">
            <w:pPr>
              <w:spacing w:line="460" w:lineRule="atLeast"/>
              <w:jc w:val="center"/>
              <w:rPr>
                <w:rFonts w:ascii="Times New Roman" w:hAnsi="Times New Roman"/>
                <w:color w:val="000000"/>
              </w:rPr>
            </w:pPr>
            <w:r>
              <w:rPr>
                <w:rFonts w:ascii="Times New Roman" w:hAnsi="Times New Roman"/>
                <w:b/>
                <w:color w:val="000000"/>
              </w:rPr>
              <w:t>（</w:t>
            </w:r>
            <w:r>
              <w:rPr>
                <w:rFonts w:hint="eastAsia" w:ascii="Times New Roman" w:hAnsi="Times New Roman"/>
                <w:b/>
                <w:color w:val="000000"/>
                <w:lang w:val="en-US" w:eastAsia="zh-CN"/>
              </w:rPr>
              <w:t>项</w:t>
            </w:r>
            <w:r>
              <w:rPr>
                <w:rFonts w:ascii="Times New Roman" w:hAnsi="Times New Roman"/>
                <w:b/>
                <w:color w:val="000000"/>
              </w:rPr>
              <w:t>）</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2DE9EE6">
            <w:pPr>
              <w:spacing w:line="460" w:lineRule="atLeast"/>
              <w:jc w:val="center"/>
              <w:rPr>
                <w:rFonts w:hint="eastAsia" w:ascii="Times New Roman" w:hAnsi="Times New Roman" w:eastAsiaTheme="minorEastAsia"/>
                <w:color w:val="000000"/>
                <w:lang w:val="en-US" w:eastAsia="zh-CN"/>
              </w:rPr>
            </w:pPr>
            <w:r>
              <w:rPr>
                <w:rFonts w:ascii="Times New Roman" w:hAnsi="Times New Roman"/>
                <w:b/>
                <w:color w:val="000000"/>
              </w:rPr>
              <w:t>品牌</w:t>
            </w:r>
            <w:r>
              <w:rPr>
                <w:rFonts w:hint="eastAsia" w:ascii="Times New Roman" w:hAnsi="Times New Roman"/>
                <w:b/>
                <w:color w:val="000000"/>
                <w:lang w:val="en-US" w:eastAsia="zh-CN"/>
              </w:rPr>
              <w:t>型号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AB08B26">
            <w:pPr>
              <w:spacing w:line="460" w:lineRule="atLeast"/>
              <w:jc w:val="center"/>
              <w:rPr>
                <w:rFonts w:hint="default" w:ascii="Times New Roman" w:hAnsi="Times New Roman" w:eastAsia="宋体"/>
                <w:b/>
                <w:color w:val="000000"/>
                <w:lang w:val="en-US" w:eastAsia="zh-CN"/>
              </w:rPr>
            </w:pPr>
            <w:r>
              <w:rPr>
                <w:rFonts w:hint="eastAsia" w:ascii="Times New Roman" w:hAnsi="Times New Roman"/>
                <w:b/>
                <w:color w:val="000000"/>
                <w:lang w:val="en-US" w:eastAsia="zh-CN"/>
              </w:rPr>
              <w:t>设备序列号</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5416E25">
            <w:pPr>
              <w:spacing w:line="460" w:lineRule="atLeast"/>
              <w:jc w:val="center"/>
              <w:rPr>
                <w:rFonts w:ascii="Times New Roman" w:hAnsi="Times New Roman"/>
                <w:color w:val="000000"/>
              </w:rPr>
            </w:pPr>
            <w:r>
              <w:rPr>
                <w:rFonts w:ascii="Times New Roman" w:hAnsi="Times New Roman"/>
                <w:b/>
                <w:color w:val="000000"/>
              </w:rPr>
              <w:t>服务类别</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6C95E103">
            <w:pPr>
              <w:spacing w:line="460" w:lineRule="atLeast"/>
              <w:jc w:val="center"/>
              <w:rPr>
                <w:rFonts w:ascii="Times New Roman" w:hAnsi="Times New Roman"/>
                <w:color w:val="000000"/>
              </w:rPr>
            </w:pPr>
            <w:r>
              <w:rPr>
                <w:rFonts w:ascii="Times New Roman" w:hAnsi="Times New Roman"/>
                <w:b/>
                <w:color w:val="000000"/>
              </w:rPr>
              <w:t>服务期限</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2EE97EE8">
            <w:pPr>
              <w:spacing w:line="460" w:lineRule="atLeast"/>
              <w:jc w:val="center"/>
              <w:rPr>
                <w:rFonts w:ascii="Times New Roman" w:hAnsi="Times New Roman"/>
                <w:color w:val="000000"/>
              </w:rPr>
            </w:pPr>
            <w:r>
              <w:rPr>
                <w:rFonts w:ascii="Times New Roman" w:hAnsi="Times New Roman"/>
                <w:b/>
                <w:color w:val="000000"/>
              </w:rPr>
              <w:t>服务地点</w:t>
            </w:r>
          </w:p>
        </w:tc>
      </w:tr>
      <w:tr w14:paraId="2D0F8106">
        <w:tblPrEx>
          <w:tblCellMar>
            <w:top w:w="0" w:type="dxa"/>
            <w:left w:w="108" w:type="dxa"/>
            <w:bottom w:w="0" w:type="dxa"/>
            <w:right w:w="108" w:type="dxa"/>
          </w:tblCellMar>
        </w:tblPrEx>
        <w:trPr>
          <w:trHeight w:val="95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D37AF38">
            <w:pPr>
              <w:spacing w:line="460" w:lineRule="atLeast"/>
              <w:jc w:val="center"/>
              <w:rPr>
                <w:rFonts w:hint="eastAsia" w:ascii="Times New Roman" w:hAnsi="Times New Roman" w:eastAsiaTheme="minorEastAsia"/>
                <w:color w:val="000000"/>
                <w:lang w:val="en-US" w:eastAsia="zh-CN"/>
              </w:rPr>
            </w:pPr>
            <w:r>
              <w:rPr>
                <w:rFonts w:hint="eastAsia" w:ascii="Times New Roman" w:hAnsi="Times New Roman"/>
                <w:color w:val="000000"/>
                <w:lang w:val="en-US" w:eastAsia="zh-CN"/>
              </w:rPr>
              <w:t>飞秒激光机维保服务</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2B8F049">
            <w:pPr>
              <w:spacing w:line="460" w:lineRule="atLeast"/>
              <w:jc w:val="center"/>
              <w:rPr>
                <w:rFonts w:hint="eastAsia" w:ascii="Times New Roman" w:hAnsi="Times New Roman" w:eastAsia="宋体"/>
                <w:color w:val="000000"/>
                <w:lang w:val="en-US" w:eastAsia="zh-CN"/>
              </w:rPr>
            </w:pPr>
            <w:r>
              <w:rPr>
                <w:rFonts w:hint="eastAsia" w:ascii="Times New Roman" w:hAnsi="Times New Roman"/>
                <w:color w:val="000000"/>
                <w:lang w:val="en-US" w:eastAsia="zh-CN"/>
              </w:rPr>
              <w:t>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2468CC6">
            <w:pPr>
              <w:spacing w:line="460" w:lineRule="atLeast"/>
              <w:jc w:val="center"/>
              <w:rPr>
                <w:rFonts w:hint="eastAsia" w:ascii="Times New Roman" w:hAnsi="Times New Roman"/>
                <w:color w:val="000000"/>
                <w:lang w:val="en-US" w:eastAsia="zh-CN"/>
              </w:rPr>
            </w:pPr>
            <w:r>
              <w:rPr>
                <w:rFonts w:hint="eastAsia" w:ascii="Times New Roman" w:hAnsi="Times New Roman"/>
                <w:color w:val="000000"/>
                <w:lang w:val="en-US" w:eastAsia="zh-CN"/>
              </w:rPr>
              <w:t>爱尔康</w:t>
            </w:r>
          </w:p>
          <w:p w14:paraId="436A6447">
            <w:pPr>
              <w:spacing w:line="460" w:lineRule="atLeast"/>
              <w:jc w:val="center"/>
              <w:rPr>
                <w:rFonts w:hint="default" w:ascii="Times New Roman" w:hAnsi="Times New Roman"/>
                <w:color w:val="000000"/>
                <w:lang w:val="en-US" w:eastAsia="zh-CN"/>
              </w:rPr>
            </w:pPr>
            <w:r>
              <w:rPr>
                <w:rFonts w:hint="eastAsia" w:ascii="Times New Roman" w:hAnsi="Times New Roman"/>
                <w:color w:val="000000"/>
                <w:lang w:val="en-US" w:eastAsia="zh-CN"/>
              </w:rPr>
              <w:t>WavelightFS200</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D521735">
            <w:pPr>
              <w:spacing w:line="460" w:lineRule="atLeast"/>
              <w:jc w:val="center"/>
              <w:rPr>
                <w:rFonts w:hint="default" w:ascii="Times New Roman" w:hAnsi="Times New Roman"/>
                <w:color w:val="000000"/>
                <w:lang w:val="en-US" w:eastAsia="zh-CN"/>
              </w:rPr>
            </w:pPr>
            <w:r>
              <w:rPr>
                <w:rFonts w:hint="eastAsia" w:ascii="Times New Roman" w:hAnsi="Times New Roman"/>
                <w:color w:val="000000"/>
                <w:lang w:val="en-US" w:eastAsia="zh-CN"/>
              </w:rPr>
              <w:t>1025-1-598</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603ED85">
            <w:pPr>
              <w:spacing w:line="460" w:lineRule="atLeast"/>
              <w:jc w:val="center"/>
              <w:rPr>
                <w:rFonts w:ascii="Times New Roman" w:hAnsi="Times New Roman"/>
                <w:color w:val="000000"/>
              </w:rPr>
            </w:pPr>
            <w:r>
              <w:rPr>
                <w:rFonts w:ascii="Times New Roman" w:hAnsi="Times New Roman"/>
                <w:color w:val="000000"/>
              </w:rPr>
              <w:t>全保</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69B23A5C">
            <w:pPr>
              <w:spacing w:line="460" w:lineRule="atLeast"/>
              <w:jc w:val="center"/>
              <w:rPr>
                <w:rFonts w:ascii="Times New Roman" w:hAnsi="Times New Roman"/>
                <w:color w:val="000000"/>
              </w:rPr>
            </w:pPr>
            <w:r>
              <w:rPr>
                <w:rFonts w:ascii="Times New Roman" w:hAnsi="Times New Roman"/>
                <w:color w:val="000000"/>
              </w:rPr>
              <w:t>三年</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692ADE01">
            <w:pPr>
              <w:spacing w:line="460" w:lineRule="atLeast"/>
              <w:jc w:val="center"/>
              <w:rPr>
                <w:rFonts w:ascii="Times New Roman" w:hAnsi="Times New Roman"/>
                <w:color w:val="000000"/>
              </w:rPr>
            </w:pPr>
            <w:r>
              <w:rPr>
                <w:rFonts w:hint="eastAsia" w:ascii="Times New Roman" w:hAnsi="Times New Roman"/>
                <w:color w:val="000000"/>
              </w:rPr>
              <w:t>招标方指定地点</w:t>
            </w:r>
          </w:p>
        </w:tc>
      </w:tr>
    </w:tbl>
    <w:p w14:paraId="4B91F0BB">
      <w:pPr>
        <w:spacing w:line="460" w:lineRule="atLeast"/>
        <w:rPr>
          <w:rFonts w:ascii="Times New Roman" w:hAnsi="Times New Roman"/>
          <w:color w:val="000000"/>
        </w:rPr>
      </w:pPr>
      <w:r>
        <w:rPr>
          <w:rFonts w:ascii="Times New Roman" w:hAnsi="Times New Roman"/>
          <w:b/>
          <w:bCs/>
          <w:color w:val="000000"/>
        </w:rPr>
        <w:t>二、项目概况</w:t>
      </w:r>
      <w:r>
        <w:rPr>
          <w:rFonts w:hint="eastAsia" w:ascii="Times New Roman" w:hAnsi="Times New Roman"/>
          <w:b/>
          <w:bCs/>
          <w:color w:val="000000"/>
        </w:rPr>
        <w:t>：</w:t>
      </w:r>
    </w:p>
    <w:p w14:paraId="452CD607">
      <w:pPr>
        <w:spacing w:line="400" w:lineRule="atLeast"/>
        <w:ind w:firstLine="120" w:firstLineChars="50"/>
        <w:rPr>
          <w:rFonts w:ascii="Times New Roman" w:hAnsi="Times New Roman"/>
          <w:color w:val="000000"/>
          <w:sz w:val="24"/>
        </w:rPr>
      </w:pPr>
      <w:r>
        <w:rPr>
          <w:rFonts w:hint="eastAsia" w:ascii="Times New Roman" w:hAnsi="Times New Roman"/>
          <w:color w:val="000000"/>
          <w:sz w:val="24"/>
        </w:rPr>
        <w:t>1、</w:t>
      </w:r>
      <w:r>
        <w:rPr>
          <w:rFonts w:ascii="Times New Roman" w:hAnsi="Times New Roman"/>
          <w:color w:val="000000"/>
          <w:sz w:val="24"/>
        </w:rPr>
        <w:t>项目名称：</w:t>
      </w:r>
      <w:r>
        <w:rPr>
          <w:rFonts w:hint="default" w:ascii="Times New Roman" w:hAnsi="Times New Roman"/>
          <w:color w:val="000000"/>
          <w:sz w:val="24"/>
          <w:lang w:val="en-US" w:eastAsia="zh-CN"/>
        </w:rPr>
        <w:t>飞秒激光机维保服务</w:t>
      </w:r>
    </w:p>
    <w:p w14:paraId="5ABBB3AA">
      <w:pPr>
        <w:spacing w:line="400" w:lineRule="atLeast"/>
        <w:ind w:firstLine="120" w:firstLineChars="50"/>
        <w:rPr>
          <w:rFonts w:hint="eastAsia" w:ascii="Times New Roman" w:hAnsi="Times New Roman" w:eastAsia="宋体"/>
          <w:color w:val="000000"/>
          <w:sz w:val="24"/>
          <w:lang w:val="en-US" w:eastAsia="zh-CN"/>
        </w:rPr>
      </w:pPr>
      <w:r>
        <w:rPr>
          <w:rFonts w:hint="eastAsia" w:ascii="Times New Roman" w:hAnsi="Times New Roman"/>
          <w:color w:val="000000"/>
          <w:sz w:val="24"/>
        </w:rPr>
        <w:t>2、</w:t>
      </w:r>
      <w:r>
        <w:rPr>
          <w:rFonts w:ascii="Times New Roman" w:hAnsi="Times New Roman"/>
          <w:color w:val="000000"/>
          <w:sz w:val="24"/>
        </w:rPr>
        <w:t>设备品牌：</w:t>
      </w:r>
      <w:r>
        <w:rPr>
          <w:rFonts w:hint="eastAsia" w:ascii="Times New Roman" w:hAnsi="Times New Roman"/>
          <w:color w:val="000000"/>
          <w:sz w:val="24"/>
          <w:lang w:val="en-US" w:eastAsia="zh-CN"/>
        </w:rPr>
        <w:t>爱尔康</w:t>
      </w:r>
    </w:p>
    <w:p w14:paraId="3D7488D5">
      <w:pPr>
        <w:spacing w:line="400" w:lineRule="atLeast"/>
        <w:ind w:firstLine="120" w:firstLineChars="50"/>
        <w:rPr>
          <w:rFonts w:ascii="Times New Roman" w:hAnsi="Times New Roman"/>
          <w:color w:val="000000"/>
          <w:sz w:val="24"/>
        </w:rPr>
      </w:pPr>
      <w:r>
        <w:rPr>
          <w:rFonts w:hint="eastAsia" w:ascii="Times New Roman" w:hAnsi="Times New Roman"/>
          <w:color w:val="000000"/>
          <w:sz w:val="24"/>
        </w:rPr>
        <w:t>3、</w:t>
      </w:r>
      <w:r>
        <w:rPr>
          <w:rFonts w:ascii="Times New Roman" w:hAnsi="Times New Roman"/>
          <w:color w:val="000000"/>
          <w:sz w:val="24"/>
        </w:rPr>
        <w:t>维保类别</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全保</w:t>
      </w:r>
    </w:p>
    <w:p w14:paraId="608AD602">
      <w:pPr>
        <w:spacing w:line="400" w:lineRule="atLeast"/>
        <w:ind w:firstLine="120" w:firstLineChars="50"/>
        <w:rPr>
          <w:rFonts w:hint="eastAsia" w:ascii="Times New Roman" w:hAnsi="Times New Roman"/>
          <w:color w:val="000000"/>
          <w:sz w:val="24"/>
          <w:highlight w:val="yellow"/>
        </w:rPr>
      </w:pPr>
      <w:r>
        <w:rPr>
          <w:rFonts w:hint="eastAsia" w:ascii="Times New Roman" w:hAnsi="Times New Roman" w:cs="宋体"/>
          <w:color w:val="000000"/>
          <w:sz w:val="24"/>
        </w:rPr>
        <w:t>4</w:t>
      </w:r>
      <w:r>
        <w:rPr>
          <w:rFonts w:hint="eastAsia" w:ascii="Times New Roman" w:hAnsi="Times New Roman"/>
          <w:color w:val="000000"/>
          <w:sz w:val="24"/>
        </w:rPr>
        <w:t>、</w:t>
      </w:r>
      <w:r>
        <w:rPr>
          <w:rFonts w:hint="eastAsia" w:ascii="Times New Roman" w:hAnsi="Times New Roman"/>
          <w:color w:val="000000"/>
          <w:sz w:val="24"/>
          <w:highlight w:val="none"/>
        </w:rPr>
        <w:t>维保期限：</w:t>
      </w:r>
      <w:r>
        <w:rPr>
          <w:rFonts w:hint="eastAsia" w:ascii="Times New Roman" w:hAnsi="Times New Roman"/>
          <w:color w:val="000000"/>
          <w:sz w:val="24"/>
          <w:highlight w:val="none"/>
          <w:lang w:val="en-US" w:eastAsia="zh-CN"/>
        </w:rPr>
        <w:t>合同签订之日起</w:t>
      </w:r>
      <w:r>
        <w:rPr>
          <w:rFonts w:hint="eastAsia" w:ascii="Times New Roman" w:hAnsi="Times New Roman"/>
          <w:color w:val="000000"/>
          <w:sz w:val="24"/>
          <w:highlight w:val="none"/>
        </w:rPr>
        <w:t>三年</w:t>
      </w:r>
    </w:p>
    <w:p w14:paraId="22451FB5">
      <w:pPr>
        <w:spacing w:line="400" w:lineRule="atLeast"/>
        <w:ind w:firstLine="120" w:firstLineChars="50"/>
        <w:rPr>
          <w:rFonts w:hint="eastAsia" w:ascii="Times New Roman" w:hAnsi="Times New Roman"/>
          <w:color w:val="000000"/>
          <w:sz w:val="24"/>
          <w:highlight w:val="yellow"/>
        </w:rPr>
      </w:pPr>
    </w:p>
    <w:p w14:paraId="48732726">
      <w:pPr>
        <w:pStyle w:val="3"/>
        <w:pageBreakBefore w:val="0"/>
        <w:kinsoku/>
        <w:wordWrap/>
        <w:overflowPunct/>
        <w:topLinePunct w:val="0"/>
        <w:autoSpaceDE/>
        <w:autoSpaceDN/>
        <w:bidi w:val="0"/>
        <w:adjustRightInd w:val="0"/>
        <w:snapToGrid w:val="0"/>
        <w:spacing w:before="0" w:after="0" w:line="240" w:lineRule="auto"/>
        <w:jc w:val="center"/>
        <w:rPr>
          <w:rFonts w:hint="eastAsia" w:ascii="Times New Roman" w:hAnsi="Times New Roman" w:eastAsia="宋体"/>
          <w:lang w:val="en-US" w:eastAsia="zh-CN"/>
        </w:rPr>
      </w:pPr>
      <w:r>
        <w:rPr>
          <w:rFonts w:hint="eastAsia" w:ascii="Times New Roman" w:hAnsi="Times New Roman"/>
          <w:lang w:val="en-US" w:eastAsia="zh-CN"/>
        </w:rPr>
        <w:t>响应偏离表</w:t>
      </w:r>
    </w:p>
    <w:tbl>
      <w:tblPr>
        <w:tblStyle w:val="6"/>
        <w:tblW w:w="9439" w:type="dxa"/>
        <w:jc w:val="center"/>
        <w:tblLayout w:type="fixed"/>
        <w:tblCellMar>
          <w:top w:w="0" w:type="dxa"/>
          <w:left w:w="108" w:type="dxa"/>
          <w:bottom w:w="0" w:type="dxa"/>
          <w:right w:w="108" w:type="dxa"/>
        </w:tblCellMar>
      </w:tblPr>
      <w:tblGrid>
        <w:gridCol w:w="1221"/>
        <w:gridCol w:w="6180"/>
        <w:gridCol w:w="1050"/>
        <w:gridCol w:w="988"/>
      </w:tblGrid>
      <w:tr w14:paraId="46A87D5A">
        <w:tblPrEx>
          <w:tblCellMar>
            <w:top w:w="0" w:type="dxa"/>
            <w:left w:w="108" w:type="dxa"/>
            <w:bottom w:w="0" w:type="dxa"/>
            <w:right w:w="108" w:type="dxa"/>
          </w:tblCellMar>
        </w:tblPrEx>
        <w:trPr>
          <w:trHeight w:val="482" w:hRule="atLeast"/>
          <w:jc w:val="center"/>
        </w:trPr>
        <w:tc>
          <w:tcPr>
            <w:tcW w:w="9439" w:type="dxa"/>
            <w:gridSpan w:val="4"/>
            <w:tcBorders>
              <w:top w:val="single" w:color="000000" w:sz="4" w:space="0"/>
              <w:left w:val="single" w:color="000000" w:sz="4" w:space="0"/>
              <w:bottom w:val="single" w:color="000000" w:sz="4" w:space="0"/>
              <w:right w:val="single" w:color="000000" w:sz="4" w:space="0"/>
            </w:tcBorders>
            <w:noWrap/>
            <w:vAlign w:val="center"/>
          </w:tcPr>
          <w:p w14:paraId="6FA6FBBD">
            <w:pPr>
              <w:pageBreakBefore w:val="0"/>
              <w:widowControl/>
              <w:kinsoku/>
              <w:wordWrap/>
              <w:overflowPunct/>
              <w:topLinePunct w:val="0"/>
              <w:autoSpaceDE/>
              <w:autoSpaceDN/>
              <w:bidi w:val="0"/>
              <w:adjustRightInd w:val="0"/>
              <w:snapToGrid w:val="0"/>
              <w:spacing w:line="240" w:lineRule="auto"/>
              <w:ind w:firstLine="3935" w:firstLineChars="1400"/>
              <w:jc w:val="left"/>
              <w:textAlignment w:val="center"/>
              <w:rPr>
                <w:rFonts w:hint="eastAsia" w:ascii="Times New Roman" w:hAnsi="Times New Roman" w:cs="宋体"/>
                <w:b/>
                <w:bCs/>
                <w:color w:val="000000"/>
                <w:kern w:val="0"/>
                <w:sz w:val="24"/>
                <w:szCs w:val="24"/>
                <w:lang w:bidi="ar"/>
              </w:rPr>
            </w:pPr>
            <w:r>
              <w:rPr>
                <w:rFonts w:hint="eastAsia" w:ascii="Times New Roman" w:hAnsi="Times New Roman" w:cs="Arial"/>
                <w:b/>
                <w:bCs/>
                <w:color w:val="000000"/>
                <w:kern w:val="2"/>
                <w:sz w:val="28"/>
                <w:szCs w:val="28"/>
                <w:lang w:val="en-US" w:eastAsia="zh-CN" w:bidi="ar-SA"/>
              </w:rPr>
              <w:t>技术要求</w:t>
            </w:r>
          </w:p>
        </w:tc>
      </w:tr>
      <w:tr w14:paraId="620075E2">
        <w:tblPrEx>
          <w:tblCellMar>
            <w:top w:w="0" w:type="dxa"/>
            <w:left w:w="108" w:type="dxa"/>
            <w:bottom w:w="0" w:type="dxa"/>
            <w:right w:w="108" w:type="dxa"/>
          </w:tblCellMar>
        </w:tblPrEx>
        <w:trPr>
          <w:trHeight w:val="480" w:hRule="atLeast"/>
          <w:jc w:val="center"/>
        </w:trPr>
        <w:tc>
          <w:tcPr>
            <w:tcW w:w="1221" w:type="dxa"/>
            <w:tcBorders>
              <w:top w:val="single" w:color="000000" w:sz="4" w:space="0"/>
              <w:left w:val="single" w:color="000000" w:sz="4" w:space="0"/>
              <w:bottom w:val="single" w:color="000000" w:sz="4" w:space="0"/>
              <w:right w:val="single" w:color="000000" w:sz="4" w:space="0"/>
            </w:tcBorders>
            <w:noWrap/>
            <w:vAlign w:val="center"/>
          </w:tcPr>
          <w:p w14:paraId="680D2A7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imes New Roman" w:hAnsi="Times New Roman" w:cs="宋体"/>
                <w:b w:val="0"/>
                <w:bCs w:val="0"/>
                <w:color w:val="000000"/>
                <w:sz w:val="24"/>
                <w:szCs w:val="24"/>
                <w:lang w:val="en-US" w:eastAsia="zh-CN"/>
              </w:rPr>
            </w:pPr>
          </w:p>
        </w:tc>
        <w:tc>
          <w:tcPr>
            <w:tcW w:w="6180" w:type="dxa"/>
            <w:tcBorders>
              <w:top w:val="single" w:color="000000" w:sz="4" w:space="0"/>
              <w:left w:val="single" w:color="000000" w:sz="4" w:space="0"/>
              <w:bottom w:val="single" w:color="000000" w:sz="4" w:space="0"/>
              <w:right w:val="single" w:color="000000" w:sz="4" w:space="0"/>
            </w:tcBorders>
            <w:noWrap/>
            <w:vAlign w:val="center"/>
          </w:tcPr>
          <w:p w14:paraId="3CD1D76B">
            <w:pPr>
              <w:numPr>
                <w:ilvl w:val="0"/>
                <w:numId w:val="0"/>
              </w:numPr>
              <w:spacing w:line="360" w:lineRule="auto"/>
              <w:jc w:val="left"/>
              <w:rPr>
                <w:rFonts w:hint="eastAsia" w:ascii="Times New Roman" w:hAnsi="Times New Roman"/>
                <w:szCs w:val="21"/>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D23B3F4">
            <w:pPr>
              <w:widowControl/>
              <w:spacing w:line="300" w:lineRule="exact"/>
              <w:jc w:val="center"/>
              <w:textAlignment w:val="center"/>
              <w:rPr>
                <w:rFonts w:hint="eastAsia" w:ascii="Times New Roman" w:hAnsi="Times New Roman" w:eastAsia="宋体" w:cs="宋体"/>
                <w:b/>
                <w:bCs/>
                <w:color w:val="000000"/>
                <w:kern w:val="0"/>
                <w:sz w:val="24"/>
                <w:szCs w:val="24"/>
                <w:lang w:val="en-US" w:eastAsia="zh-CN" w:bidi="ar"/>
              </w:rPr>
            </w:pPr>
            <w:r>
              <w:rPr>
                <w:rFonts w:hint="eastAsia" w:ascii="Times New Roman" w:hAnsi="Times New Roman" w:cs="宋体"/>
                <w:b/>
                <w:bCs/>
                <w:color w:val="000000"/>
                <w:kern w:val="0"/>
                <w:sz w:val="24"/>
                <w:szCs w:val="24"/>
                <w:lang w:bidi="ar"/>
              </w:rPr>
              <w:t>响应</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51E4414">
            <w:pPr>
              <w:widowControl/>
              <w:spacing w:line="300" w:lineRule="exact"/>
              <w:jc w:val="center"/>
              <w:textAlignment w:val="center"/>
              <w:rPr>
                <w:rFonts w:hint="eastAsia" w:ascii="Times New Roman" w:hAnsi="Times New Roman" w:eastAsia="宋体" w:cs="宋体"/>
                <w:b/>
                <w:bCs/>
                <w:color w:val="000000"/>
                <w:kern w:val="0"/>
                <w:sz w:val="24"/>
                <w:szCs w:val="24"/>
                <w:lang w:val="en-US" w:eastAsia="zh-CN" w:bidi="ar"/>
              </w:rPr>
            </w:pPr>
            <w:r>
              <w:rPr>
                <w:rFonts w:hint="eastAsia" w:ascii="Times New Roman" w:hAnsi="Times New Roman" w:cs="宋体"/>
                <w:b/>
                <w:bCs/>
                <w:color w:val="000000"/>
                <w:kern w:val="0"/>
                <w:sz w:val="24"/>
                <w:szCs w:val="24"/>
                <w:lang w:bidi="ar"/>
              </w:rPr>
              <w:t>偏离</w:t>
            </w:r>
          </w:p>
        </w:tc>
      </w:tr>
      <w:tr w14:paraId="78BB8963">
        <w:tblPrEx>
          <w:tblCellMar>
            <w:top w:w="0" w:type="dxa"/>
            <w:left w:w="108" w:type="dxa"/>
            <w:bottom w:w="0" w:type="dxa"/>
            <w:right w:w="108" w:type="dxa"/>
          </w:tblCellMar>
        </w:tblPrEx>
        <w:trPr>
          <w:trHeight w:val="480" w:hRule="atLeast"/>
          <w:jc w:val="center"/>
        </w:trPr>
        <w:tc>
          <w:tcPr>
            <w:tcW w:w="1221" w:type="dxa"/>
            <w:tcBorders>
              <w:top w:val="single" w:color="000000" w:sz="4" w:space="0"/>
              <w:left w:val="single" w:color="000000" w:sz="4" w:space="0"/>
              <w:bottom w:val="single" w:color="000000" w:sz="4" w:space="0"/>
              <w:right w:val="single" w:color="000000" w:sz="4" w:space="0"/>
            </w:tcBorders>
            <w:noWrap/>
            <w:vAlign w:val="center"/>
          </w:tcPr>
          <w:p w14:paraId="62CF790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imes New Roman" w:hAnsi="Times New Roman" w:eastAsia="宋体" w:cs="宋体"/>
                <w:b w:val="0"/>
                <w:bCs w:val="0"/>
                <w:color w:val="000000"/>
                <w:sz w:val="24"/>
                <w:szCs w:val="24"/>
                <w:lang w:val="en-US" w:eastAsia="zh-CN"/>
              </w:rPr>
            </w:pPr>
            <w:r>
              <w:rPr>
                <w:rFonts w:hint="eastAsia" w:ascii="Times New Roman" w:hAnsi="Times New Roman" w:cs="宋体"/>
                <w:b w:val="0"/>
                <w:bCs w:val="0"/>
                <w:color w:val="000000"/>
                <w:sz w:val="24"/>
                <w:szCs w:val="24"/>
                <w:lang w:val="en-US" w:eastAsia="zh-CN"/>
              </w:rPr>
              <w:t>1</w:t>
            </w:r>
          </w:p>
        </w:tc>
        <w:tc>
          <w:tcPr>
            <w:tcW w:w="6180" w:type="dxa"/>
            <w:tcBorders>
              <w:top w:val="single" w:color="000000" w:sz="4" w:space="0"/>
              <w:left w:val="single" w:color="000000" w:sz="4" w:space="0"/>
              <w:bottom w:val="single" w:color="000000" w:sz="4" w:space="0"/>
              <w:right w:val="single" w:color="000000" w:sz="4" w:space="0"/>
            </w:tcBorders>
            <w:noWrap/>
            <w:vAlign w:val="center"/>
          </w:tcPr>
          <w:p w14:paraId="39055DFC">
            <w:pPr>
              <w:spacing w:line="460" w:lineRule="atLeast"/>
              <w:jc w:val="left"/>
              <w:rPr>
                <w:rFonts w:hint="default" w:ascii="Times New Roman" w:hAnsi="Times New Roman"/>
                <w:szCs w:val="21"/>
                <w:lang w:val="en-US" w:eastAsia="zh-CN"/>
              </w:rPr>
            </w:pPr>
            <w:r>
              <w:rPr>
                <w:rFonts w:hint="eastAsia" w:ascii="Times New Roman" w:hAnsi="Times New Roman" w:eastAsia="宋体" w:cs="宋体"/>
                <w:b/>
                <w:bCs/>
                <w:color w:val="000000"/>
                <w:sz w:val="24"/>
              </w:rPr>
              <w:t>服务内容和标准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01CB13">
            <w:pPr>
              <w:widowControl/>
              <w:spacing w:line="300" w:lineRule="exact"/>
              <w:jc w:val="left"/>
              <w:textAlignment w:val="center"/>
              <w:rPr>
                <w:rFonts w:ascii="Times New Roman" w:hAnsi="Times New Roman" w:cs="宋体"/>
                <w:b/>
                <w:bCs/>
                <w:color w:val="000000"/>
                <w:kern w:val="0"/>
                <w:sz w:val="24"/>
                <w:szCs w:val="24"/>
                <w:lang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8CD81B5">
            <w:pPr>
              <w:widowControl/>
              <w:spacing w:line="300" w:lineRule="exact"/>
              <w:jc w:val="left"/>
              <w:textAlignment w:val="center"/>
              <w:rPr>
                <w:rFonts w:ascii="Times New Roman" w:hAnsi="Times New Roman" w:cs="宋体"/>
                <w:b/>
                <w:bCs/>
                <w:color w:val="000000"/>
                <w:kern w:val="0"/>
                <w:sz w:val="24"/>
                <w:szCs w:val="24"/>
                <w:lang w:bidi="ar"/>
              </w:rPr>
            </w:pPr>
          </w:p>
        </w:tc>
      </w:tr>
      <w:tr w14:paraId="204ED14C">
        <w:tblPrEx>
          <w:tblCellMar>
            <w:top w:w="0" w:type="dxa"/>
            <w:left w:w="108" w:type="dxa"/>
            <w:bottom w:w="0" w:type="dxa"/>
            <w:right w:w="108" w:type="dxa"/>
          </w:tblCellMar>
        </w:tblPrEx>
        <w:trPr>
          <w:trHeight w:val="455"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9DDAB84">
            <w:pPr>
              <w:spacing w:line="360" w:lineRule="auto"/>
              <w:jc w:val="left"/>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1.1</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3B931B25">
            <w:pPr>
              <w:numPr>
                <w:ilvl w:val="0"/>
                <w:numId w:val="0"/>
              </w:numPr>
              <w:spacing w:line="360" w:lineRule="auto"/>
              <w:jc w:val="left"/>
              <w:rPr>
                <w:rFonts w:hint="default" w:ascii="Times New Roman" w:hAnsi="Times New Roman"/>
                <w:szCs w:val="21"/>
                <w:lang w:val="en-US" w:eastAsia="zh-CN"/>
              </w:rPr>
            </w:pP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服务期内，全天候24小时×365天电话技术支持，接到医院故障通知，响应时间</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w:t>
            </w:r>
            <w:bookmarkStart w:id="0" w:name="_GoBack"/>
            <w:bookmarkEnd w:id="0"/>
            <w:r>
              <w:rPr>
                <w:rFonts w:hint="default" w:ascii="Times New Roman" w:hAnsi="Times New Roman" w:eastAsia="宋体" w:cs="宋体"/>
                <w:b w:val="0"/>
                <w:bCs w:val="0"/>
                <w:i w:val="0"/>
                <w:iCs w:val="0"/>
                <w:snapToGrid w:val="0"/>
                <w:color w:val="auto"/>
                <w:sz w:val="24"/>
                <w:szCs w:val="24"/>
                <w:highlight w:val="none"/>
                <w:vertAlign w:val="baseline"/>
                <w:lang w:val="en-US" w:eastAsia="zh-CN"/>
              </w:rPr>
              <w:t>2小时，工程师应在24小时内到达现场（包括节假日）</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本项目维保响应时间内，如未能及时响应到场维修，影响</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采购人</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正常运营，</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采购人</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有权单方面终止合同，同时追究造成的经济损失</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5331F6">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572395A3">
            <w:pPr>
              <w:spacing w:line="360" w:lineRule="auto"/>
              <w:jc w:val="left"/>
              <w:rPr>
                <w:rFonts w:hint="eastAsia" w:ascii="Times New Roman" w:hAnsi="Times New Roman" w:eastAsia="宋体" w:cs="宋体"/>
                <w:sz w:val="24"/>
                <w:szCs w:val="24"/>
                <w:lang w:val="en-US" w:eastAsia="zh-CN"/>
              </w:rPr>
            </w:pPr>
          </w:p>
        </w:tc>
      </w:tr>
      <w:tr w14:paraId="4080B586">
        <w:tblPrEx>
          <w:tblCellMar>
            <w:top w:w="0" w:type="dxa"/>
            <w:left w:w="108" w:type="dxa"/>
            <w:bottom w:w="0" w:type="dxa"/>
            <w:right w:w="108" w:type="dxa"/>
          </w:tblCellMar>
        </w:tblPrEx>
        <w:trPr>
          <w:trHeight w:val="361"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65507892">
            <w:pPr>
              <w:spacing w:line="360" w:lineRule="auto"/>
              <w:jc w:val="left"/>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1.2</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F717FDB">
            <w:pPr>
              <w:spacing w:line="400" w:lineRule="atLeast"/>
              <w:jc w:val="left"/>
              <w:rPr>
                <w:rFonts w:hint="eastAsia" w:ascii="Times New Roman" w:hAnsi="Times New Roman"/>
                <w:szCs w:val="21"/>
                <w:lang w:val="en-US" w:eastAsia="zh-CN"/>
              </w:rPr>
            </w:pPr>
            <w:r>
              <w:rPr>
                <w:rFonts w:hint="eastAsia" w:ascii="Times New Roman" w:hAnsi="Times New Roman" w:eastAsia="宋体" w:cs="宋体"/>
                <w:color w:val="000000"/>
                <w:sz w:val="24"/>
                <w:lang w:val="en-US" w:eastAsia="zh-CN"/>
              </w:rPr>
              <w:t>供应商</w:t>
            </w:r>
            <w:r>
              <w:rPr>
                <w:rFonts w:hint="eastAsia" w:ascii="Times New Roman" w:hAnsi="Times New Roman" w:eastAsia="宋体" w:cs="宋体"/>
                <w:color w:val="000000"/>
                <w:sz w:val="24"/>
              </w:rPr>
              <w:t>保证</w:t>
            </w:r>
            <w:r>
              <w:rPr>
                <w:rFonts w:hint="eastAsia" w:ascii="Times New Roman" w:hAnsi="Times New Roman" w:eastAsia="宋体" w:cs="宋体"/>
                <w:color w:val="000000"/>
                <w:sz w:val="24"/>
                <w:lang w:val="en-US" w:eastAsia="zh-CN"/>
              </w:rPr>
              <w:t>维保</w:t>
            </w:r>
            <w:r>
              <w:rPr>
                <w:rFonts w:hint="eastAsia" w:ascii="Times New Roman" w:hAnsi="Times New Roman" w:eastAsia="宋体" w:cs="宋体"/>
                <w:color w:val="000000"/>
                <w:sz w:val="24"/>
              </w:rPr>
              <w:t>设备</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全年开机率</w:t>
            </w:r>
            <w:r>
              <w:rPr>
                <w:rFonts w:hint="eastAsia" w:ascii="宋体" w:hAnsi="宋体" w:eastAsia="宋体" w:cs="宋体"/>
                <w:b w:val="0"/>
                <w:bCs w:val="0"/>
                <w:i w:val="0"/>
                <w:iCs w:val="0"/>
                <w:snapToGrid w:val="0"/>
                <w:color w:val="auto"/>
                <w:sz w:val="24"/>
                <w:szCs w:val="24"/>
                <w:highlight w:val="none"/>
                <w:vertAlign w:val="baseline"/>
                <w:lang w:val="en-US" w:eastAsia="zh-CN"/>
              </w:rPr>
              <w:t>≥</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95%（每年停机时间累计不超过18天），每超出一天，维保期顺延十天。</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AE8FA1">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5659EB6F">
            <w:pPr>
              <w:spacing w:line="360" w:lineRule="auto"/>
              <w:jc w:val="left"/>
              <w:rPr>
                <w:rFonts w:hint="eastAsia" w:ascii="Times New Roman" w:hAnsi="Times New Roman" w:eastAsia="宋体" w:cs="宋体"/>
                <w:sz w:val="24"/>
                <w:szCs w:val="24"/>
                <w:lang w:val="en-US" w:eastAsia="zh-CN"/>
              </w:rPr>
            </w:pPr>
          </w:p>
        </w:tc>
      </w:tr>
      <w:tr w14:paraId="1F0732BC">
        <w:tblPrEx>
          <w:tblCellMar>
            <w:top w:w="0" w:type="dxa"/>
            <w:left w:w="108" w:type="dxa"/>
            <w:bottom w:w="0" w:type="dxa"/>
            <w:right w:w="108" w:type="dxa"/>
          </w:tblCellMar>
        </w:tblPrEx>
        <w:trPr>
          <w:trHeight w:val="368"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0D042ED">
            <w:pPr>
              <w:spacing w:line="360" w:lineRule="auto"/>
              <w:jc w:val="left"/>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1.3</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5F5B139B">
            <w:pPr>
              <w:numPr>
                <w:ilvl w:val="0"/>
                <w:numId w:val="0"/>
              </w:numPr>
              <w:spacing w:line="360" w:lineRule="auto"/>
              <w:jc w:val="left"/>
              <w:rPr>
                <w:rFonts w:hint="default" w:ascii="Times New Roman" w:hAnsi="Times New Roman"/>
                <w:szCs w:val="21"/>
                <w:lang w:val="en-US" w:eastAsia="zh-CN"/>
              </w:rPr>
            </w:pP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服务期内，每</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季度</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提供</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一</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次上门维护</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保养并提供巡检报告</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。具体内容包括不限于：（1）主机系统运行基本状况检查</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（2）图像质量检查及校正</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（3）激光腔使用情况检查</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（4）安全检查；（5）软件安全升级、病毒防护等技术说明书中要求的维保内容。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601A5E1">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25E4C542">
            <w:pPr>
              <w:spacing w:line="360" w:lineRule="auto"/>
              <w:jc w:val="left"/>
              <w:rPr>
                <w:rFonts w:hint="eastAsia" w:ascii="Times New Roman" w:hAnsi="Times New Roman" w:eastAsia="宋体" w:cs="宋体"/>
                <w:sz w:val="24"/>
                <w:szCs w:val="24"/>
                <w:lang w:val="en-US" w:eastAsia="zh-CN"/>
              </w:rPr>
            </w:pPr>
          </w:p>
        </w:tc>
      </w:tr>
      <w:tr w14:paraId="2B5CD8BE">
        <w:tblPrEx>
          <w:tblCellMar>
            <w:top w:w="0" w:type="dxa"/>
            <w:left w:w="108" w:type="dxa"/>
            <w:bottom w:w="0" w:type="dxa"/>
            <w:right w:w="108" w:type="dxa"/>
          </w:tblCellMar>
        </w:tblPrEx>
        <w:trPr>
          <w:trHeight w:val="435"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6A14D1D">
            <w:pPr>
              <w:spacing w:line="360" w:lineRule="auto"/>
              <w:jc w:val="left"/>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1.4</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03218CF6">
            <w:pPr>
              <w:numPr>
                <w:ilvl w:val="0"/>
                <w:numId w:val="0"/>
              </w:numPr>
              <w:spacing w:line="400" w:lineRule="atLeast"/>
              <w:jc w:val="left"/>
              <w:rPr>
                <w:rFonts w:hint="eastAsia" w:ascii="Times New Roman" w:hAnsi="Times New Roman"/>
                <w:szCs w:val="21"/>
                <w:lang w:val="en-US" w:eastAsia="zh-CN"/>
              </w:rPr>
            </w:pPr>
            <w:r>
              <w:rPr>
                <w:rFonts w:hint="default" w:ascii="Times New Roman" w:hAnsi="Times New Roman" w:eastAsia="宋体" w:cs="宋体"/>
                <w:b w:val="0"/>
                <w:bCs w:val="0"/>
                <w:i w:val="0"/>
                <w:iCs w:val="0"/>
                <w:snapToGrid w:val="0"/>
                <w:color w:val="auto"/>
                <w:sz w:val="24"/>
                <w:szCs w:val="24"/>
                <w:highlight w:val="none"/>
                <w:vertAlign w:val="baseline"/>
                <w:lang w:val="en-US" w:eastAsia="zh-CN"/>
              </w:rPr>
              <w:t>供应商每次维修或保养完成后，当天将维修</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保养</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报告交</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医学</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装备</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部</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和使用科室各一份。</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06658FE">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10A80A91">
            <w:pPr>
              <w:spacing w:line="360" w:lineRule="auto"/>
              <w:jc w:val="left"/>
              <w:rPr>
                <w:rFonts w:hint="eastAsia" w:ascii="Times New Roman" w:hAnsi="Times New Roman" w:eastAsia="宋体" w:cs="宋体"/>
                <w:sz w:val="24"/>
                <w:szCs w:val="24"/>
                <w:lang w:val="en-US" w:eastAsia="zh-CN"/>
              </w:rPr>
            </w:pPr>
          </w:p>
        </w:tc>
      </w:tr>
      <w:tr w14:paraId="3B7EEF05">
        <w:tblPrEx>
          <w:tblCellMar>
            <w:top w:w="0" w:type="dxa"/>
            <w:left w:w="108" w:type="dxa"/>
            <w:bottom w:w="0" w:type="dxa"/>
            <w:right w:w="108" w:type="dxa"/>
          </w:tblCellMar>
        </w:tblPrEx>
        <w:trPr>
          <w:trHeight w:val="464"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A4F3B97">
            <w:pPr>
              <w:spacing w:line="360" w:lineRule="auto"/>
              <w:jc w:val="left"/>
              <w:rPr>
                <w:rFonts w:hint="default" w:ascii="Times New Roman" w:hAnsi="Times New Roman" w:eastAsia="宋体" w:cs="宋体"/>
                <w:sz w:val="24"/>
                <w:szCs w:val="24"/>
                <w:lang w:val="en-US" w:eastAsia="zh-CN"/>
              </w:rPr>
            </w:pPr>
            <w:r>
              <w:rPr>
                <w:rFonts w:hint="eastAsia" w:ascii="Times New Roman" w:hAnsi="Times New Roman" w:cs="宋体"/>
                <w:sz w:val="24"/>
                <w:szCs w:val="24"/>
                <w:lang w:val="en-US" w:eastAsia="zh-CN"/>
              </w:rPr>
              <w:t>1.5</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1BBC6625">
            <w:pPr>
              <w:autoSpaceDE w:val="0"/>
              <w:autoSpaceDN w:val="0"/>
              <w:adjustRightInd w:val="0"/>
              <w:snapToGrid w:val="0"/>
              <w:spacing w:line="360" w:lineRule="auto"/>
              <w:jc w:val="left"/>
              <w:textAlignment w:val="baseline"/>
              <w:rPr>
                <w:rFonts w:hint="eastAsia" w:ascii="Times New Roman" w:hAnsi="Times New Roman"/>
                <w:szCs w:val="21"/>
                <w:lang w:val="en-US" w:eastAsia="zh-CN"/>
              </w:rPr>
            </w:pPr>
            <w:r>
              <w:rPr>
                <w:rFonts w:hint="default" w:ascii="Times New Roman" w:hAnsi="Times New Roman" w:eastAsia="宋体" w:cs="宋体"/>
                <w:b w:val="0"/>
                <w:bCs w:val="0"/>
                <w:i w:val="0"/>
                <w:iCs w:val="0"/>
                <w:snapToGrid w:val="0"/>
                <w:color w:val="auto"/>
                <w:sz w:val="24"/>
                <w:szCs w:val="24"/>
                <w:highlight w:val="none"/>
                <w:vertAlign w:val="baseline"/>
                <w:lang w:val="en-US" w:eastAsia="zh-CN"/>
              </w:rPr>
              <w:t>供应商维修工程师可显示全套诊断软件，并保证能够解决所有需要service key才能解决的设备故障。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49BB91">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7C983A89">
            <w:pPr>
              <w:spacing w:line="360" w:lineRule="auto"/>
              <w:jc w:val="left"/>
              <w:rPr>
                <w:rFonts w:hint="eastAsia" w:ascii="Times New Roman" w:hAnsi="Times New Roman" w:eastAsia="宋体" w:cs="宋体"/>
                <w:sz w:val="24"/>
                <w:szCs w:val="24"/>
                <w:lang w:val="en-US" w:eastAsia="zh-CN"/>
              </w:rPr>
            </w:pPr>
          </w:p>
        </w:tc>
      </w:tr>
      <w:tr w14:paraId="1BAC77DD">
        <w:tblPrEx>
          <w:tblCellMar>
            <w:top w:w="0" w:type="dxa"/>
            <w:left w:w="108" w:type="dxa"/>
            <w:bottom w:w="0" w:type="dxa"/>
            <w:right w:w="108" w:type="dxa"/>
          </w:tblCellMar>
        </w:tblPrEx>
        <w:trPr>
          <w:trHeight w:val="464"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9F1D88C">
            <w:pPr>
              <w:spacing w:line="360" w:lineRule="auto"/>
              <w:jc w:val="left"/>
              <w:rPr>
                <w:rFonts w:hint="default" w:ascii="Times New Roman" w:hAnsi="Times New Roman" w:cs="宋体"/>
                <w:sz w:val="24"/>
                <w:szCs w:val="24"/>
                <w:lang w:val="en-US" w:eastAsia="zh-CN"/>
              </w:rPr>
            </w:pPr>
            <w:r>
              <w:rPr>
                <w:rFonts w:hint="eastAsia" w:ascii="Times New Roman" w:hAnsi="Times New Roman" w:cs="宋体"/>
                <w:sz w:val="24"/>
                <w:szCs w:val="24"/>
                <w:lang w:val="en-US" w:eastAsia="zh-CN"/>
              </w:rPr>
              <w:t>1.6</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11A6E278">
            <w:pPr>
              <w:numPr>
                <w:ilvl w:val="0"/>
                <w:numId w:val="0"/>
              </w:numPr>
              <w:spacing w:line="400" w:lineRule="atLeast"/>
              <w:jc w:val="left"/>
              <w:rPr>
                <w:rFonts w:hint="eastAsia" w:ascii="Times New Roman" w:hAnsi="Times New Roman"/>
                <w:szCs w:val="21"/>
                <w:lang w:val="en-US" w:eastAsia="zh-CN"/>
              </w:rPr>
            </w:pPr>
            <w:r>
              <w:rPr>
                <w:rFonts w:hint="default" w:ascii="Times New Roman" w:hAnsi="Times New Roman" w:eastAsia="宋体" w:cs="宋体"/>
                <w:b w:val="0"/>
                <w:bCs w:val="0"/>
                <w:i w:val="0"/>
                <w:iCs w:val="0"/>
                <w:snapToGrid w:val="0"/>
                <w:color w:val="auto"/>
                <w:sz w:val="24"/>
                <w:szCs w:val="24"/>
                <w:highlight w:val="none"/>
                <w:vertAlign w:val="baseline"/>
                <w:lang w:val="en-US" w:eastAsia="zh-CN"/>
              </w:rPr>
              <w:t>供应商国内拥有专业的技术支持团队≥3人</w:t>
            </w:r>
            <w:r>
              <w:rPr>
                <w:rFonts w:hint="default" w:ascii="Times New Roman" w:hAnsi="Times New Roman" w:cs="宋体"/>
                <w:b w:val="0"/>
                <w:bCs w:val="0"/>
                <w:i w:val="0"/>
                <w:iCs w:val="0"/>
                <w:snapToGrid w:val="0"/>
                <w:color w:val="auto"/>
                <w:sz w:val="24"/>
                <w:szCs w:val="24"/>
                <w:highlight w:val="none"/>
                <w:vertAlign w:val="baseline"/>
                <w:lang w:val="en-US" w:eastAsia="zh-CN"/>
              </w:rPr>
              <w:t>，</w:t>
            </w:r>
            <w:r>
              <w:rPr>
                <w:rFonts w:hint="eastAsia" w:ascii="Times New Roman" w:hAnsi="Times New Roman" w:eastAsia="宋体" w:cs="宋体"/>
                <w:color w:val="000000"/>
                <w:sz w:val="24"/>
              </w:rPr>
              <w:t>配备</w:t>
            </w:r>
            <w:r>
              <w:rPr>
                <w:rFonts w:hint="eastAsia" w:ascii="Times New Roman" w:hAnsi="Times New Roman" w:eastAsia="宋体" w:cs="宋体"/>
                <w:color w:val="000000"/>
                <w:sz w:val="24"/>
                <w:lang w:val="en-US" w:eastAsia="zh-CN"/>
              </w:rPr>
              <w:t>至少</w:t>
            </w:r>
            <w:r>
              <w:rPr>
                <w:rFonts w:hint="eastAsia" w:ascii="Times New Roman" w:hAnsi="Times New Roman" w:eastAsia="宋体" w:cs="宋体"/>
                <w:color w:val="000000"/>
                <w:sz w:val="24"/>
              </w:rPr>
              <w:t>1名具有生物医学工程专业或医用电子仪器专业大专及以上学历，或具有医疗器械维修能力的技术人员负责本项目的日常维护工作</w:t>
            </w:r>
            <w:r>
              <w:rPr>
                <w:rFonts w:hint="eastAsia" w:ascii="Times New Roman" w:hAnsi="Times New Roman" w:eastAsia="宋体" w:cs="宋体"/>
                <w:color w:val="000000"/>
                <w:sz w:val="24"/>
                <w:lang w:eastAsia="zh-CN"/>
              </w:rPr>
              <w:t>（</w:t>
            </w:r>
            <w:r>
              <w:rPr>
                <w:rFonts w:hint="eastAsia" w:ascii="Times New Roman" w:hAnsi="Times New Roman" w:eastAsia="宋体" w:cs="宋体"/>
                <w:color w:val="000000"/>
                <w:sz w:val="24"/>
                <w:lang w:val="en-US" w:eastAsia="zh-CN"/>
              </w:rPr>
              <w:t>提供具备以上维保能力的证明文件</w:t>
            </w:r>
            <w:r>
              <w:rPr>
                <w:rFonts w:hint="eastAsia" w:ascii="Times New Roman" w:hAnsi="Times New Roman" w:eastAsia="宋体" w:cs="宋体"/>
                <w:color w:val="000000"/>
                <w:sz w:val="24"/>
                <w:lang w:eastAsia="zh-CN"/>
              </w:rPr>
              <w:t>）</w:t>
            </w:r>
            <w:r>
              <w:rPr>
                <w:rFonts w:hint="eastAsia" w:ascii="Times New Roman" w:hAnsi="Times New Roman" w:eastAsia="宋体" w:cs="宋体"/>
                <w:color w:val="000000"/>
                <w:sz w:val="24"/>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C078E8B">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17353B70">
            <w:pPr>
              <w:spacing w:line="360" w:lineRule="auto"/>
              <w:jc w:val="left"/>
              <w:rPr>
                <w:rFonts w:hint="eastAsia" w:ascii="Times New Roman" w:hAnsi="Times New Roman" w:eastAsia="宋体" w:cs="宋体"/>
                <w:sz w:val="24"/>
                <w:szCs w:val="24"/>
                <w:lang w:val="en-US" w:eastAsia="zh-CN"/>
              </w:rPr>
            </w:pPr>
          </w:p>
        </w:tc>
      </w:tr>
      <w:tr w14:paraId="1C7A2462">
        <w:tblPrEx>
          <w:tblCellMar>
            <w:top w:w="0" w:type="dxa"/>
            <w:left w:w="108" w:type="dxa"/>
            <w:bottom w:w="0" w:type="dxa"/>
            <w:right w:w="108" w:type="dxa"/>
          </w:tblCellMar>
        </w:tblPrEx>
        <w:trPr>
          <w:trHeight w:val="464"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007254FC">
            <w:pPr>
              <w:spacing w:line="360" w:lineRule="auto"/>
              <w:jc w:val="left"/>
              <w:rPr>
                <w:rFonts w:hint="default" w:ascii="Times New Roman" w:hAnsi="Times New Roman" w:cs="宋体"/>
                <w:sz w:val="24"/>
                <w:szCs w:val="24"/>
                <w:lang w:val="en-US" w:eastAsia="zh-CN"/>
              </w:rPr>
            </w:pPr>
            <w:r>
              <w:rPr>
                <w:rFonts w:hint="eastAsia" w:ascii="Times New Roman" w:hAnsi="Times New Roman" w:cs="宋体"/>
                <w:sz w:val="24"/>
                <w:szCs w:val="24"/>
                <w:lang w:val="en-US" w:eastAsia="zh-CN"/>
              </w:rPr>
              <w:t>1.7</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13700B66">
            <w:pPr>
              <w:numPr>
                <w:ilvl w:val="0"/>
                <w:numId w:val="0"/>
              </w:numPr>
              <w:spacing w:line="400" w:lineRule="atLeast"/>
              <w:jc w:val="left"/>
              <w:rPr>
                <w:rFonts w:hint="eastAsia" w:ascii="Times New Roman" w:hAnsi="Times New Roman"/>
                <w:szCs w:val="21"/>
                <w:lang w:val="en-US" w:eastAsia="zh-CN"/>
              </w:rPr>
            </w:pPr>
            <w:r>
              <w:rPr>
                <w:rFonts w:hint="eastAsia" w:ascii="Times New Roman" w:hAnsi="Times New Roman" w:eastAsia="宋体" w:cs="宋体"/>
                <w:color w:val="000000"/>
                <w:sz w:val="24"/>
              </w:rPr>
              <w:t>服务期内，若发生零部件故障，维修时提供更换的配件与原机配件同一规格型号一致，保障不会对设备质量产生不良影响。若为进口件必须提供其相关的海关报关手续，证明其合法性，如因提供不合法不合规或来路不明的备件而引起的相关损失及法律责任由</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供应商</w:t>
            </w:r>
            <w:r>
              <w:rPr>
                <w:rFonts w:hint="eastAsia" w:ascii="Times New Roman" w:hAnsi="Times New Roman" w:eastAsia="宋体" w:cs="宋体"/>
                <w:color w:val="000000"/>
                <w:sz w:val="24"/>
              </w:rPr>
              <w:t>自行承担。</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E94223D">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403FD08F">
            <w:pPr>
              <w:spacing w:line="360" w:lineRule="auto"/>
              <w:jc w:val="left"/>
              <w:rPr>
                <w:rFonts w:hint="eastAsia" w:ascii="Times New Roman" w:hAnsi="Times New Roman" w:eastAsia="宋体" w:cs="宋体"/>
                <w:sz w:val="24"/>
                <w:szCs w:val="24"/>
                <w:lang w:val="en-US" w:eastAsia="zh-CN"/>
              </w:rPr>
            </w:pPr>
          </w:p>
        </w:tc>
      </w:tr>
      <w:tr w14:paraId="21030D4C">
        <w:tblPrEx>
          <w:tblCellMar>
            <w:top w:w="0" w:type="dxa"/>
            <w:left w:w="108" w:type="dxa"/>
            <w:bottom w:w="0" w:type="dxa"/>
            <w:right w:w="108" w:type="dxa"/>
          </w:tblCellMar>
        </w:tblPrEx>
        <w:trPr>
          <w:trHeight w:val="464"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503EFAAF">
            <w:pPr>
              <w:spacing w:line="360" w:lineRule="auto"/>
              <w:jc w:val="left"/>
              <w:rPr>
                <w:rFonts w:hint="default" w:ascii="Times New Roman" w:hAnsi="Times New Roman" w:cs="宋体"/>
                <w:sz w:val="24"/>
                <w:szCs w:val="24"/>
                <w:lang w:val="en-US" w:eastAsia="zh-CN"/>
              </w:rPr>
            </w:pPr>
            <w:r>
              <w:rPr>
                <w:rFonts w:hint="eastAsia" w:ascii="Times New Roman" w:hAnsi="Times New Roman" w:cs="宋体"/>
                <w:sz w:val="24"/>
                <w:szCs w:val="24"/>
                <w:lang w:val="en-US" w:eastAsia="zh-CN"/>
              </w:rPr>
              <w:t>1.8</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31683BE8">
            <w:pPr>
              <w:numPr>
                <w:ilvl w:val="0"/>
                <w:numId w:val="0"/>
              </w:numPr>
              <w:spacing w:line="400" w:lineRule="atLeast"/>
              <w:jc w:val="left"/>
              <w:rPr>
                <w:rFonts w:hint="eastAsia" w:ascii="Times New Roman" w:hAnsi="Times New Roman"/>
                <w:szCs w:val="21"/>
                <w:lang w:val="en-US" w:eastAsia="zh-CN"/>
              </w:rPr>
            </w:pPr>
            <w:r>
              <w:rPr>
                <w:rFonts w:hint="default" w:ascii="Times New Roman" w:hAnsi="Times New Roman" w:eastAsia="宋体" w:cs="宋体"/>
                <w:b w:val="0"/>
                <w:bCs w:val="0"/>
                <w:i w:val="0"/>
                <w:iCs w:val="0"/>
                <w:snapToGrid w:val="0"/>
                <w:color w:val="auto"/>
                <w:sz w:val="24"/>
                <w:szCs w:val="24"/>
                <w:highlight w:val="none"/>
                <w:vertAlign w:val="baseline"/>
                <w:lang w:val="en-US" w:eastAsia="zh-CN"/>
              </w:rPr>
              <w:t>维保工作人员由于</w:t>
            </w:r>
            <w:r>
              <w:rPr>
                <w:rFonts w:hint="eastAsia" w:ascii="Times New Roman" w:hAnsi="Times New Roman" w:eastAsia="宋体" w:cs="宋体"/>
                <w:b w:val="0"/>
                <w:bCs w:val="0"/>
                <w:i w:val="0"/>
                <w:iCs w:val="0"/>
                <w:snapToGrid w:val="0"/>
                <w:color w:val="auto"/>
                <w:sz w:val="24"/>
                <w:szCs w:val="24"/>
                <w:highlight w:val="none"/>
                <w:vertAlign w:val="baseline"/>
                <w:lang w:val="en-US" w:eastAsia="zh-CN"/>
              </w:rPr>
              <w:t>维保不当</w:t>
            </w:r>
            <w:r>
              <w:rPr>
                <w:rFonts w:hint="default" w:ascii="Times New Roman" w:hAnsi="Times New Roman" w:eastAsia="宋体" w:cs="宋体"/>
                <w:b w:val="0"/>
                <w:bCs w:val="0"/>
                <w:i w:val="0"/>
                <w:iCs w:val="0"/>
                <w:snapToGrid w:val="0"/>
                <w:color w:val="auto"/>
                <w:sz w:val="24"/>
                <w:szCs w:val="24"/>
                <w:highlight w:val="none"/>
                <w:vertAlign w:val="baseline"/>
                <w:lang w:val="en-US" w:eastAsia="zh-CN"/>
              </w:rPr>
              <w:t>等原因给医院造成经济损失的，应赔偿产生的一切损失。其人身安全由供应商负责。在工作中造成了他人或财产损害的，由供应商承担相关法律后果。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1643D75">
            <w:pPr>
              <w:spacing w:line="360" w:lineRule="auto"/>
              <w:jc w:val="left"/>
              <w:rPr>
                <w:rFonts w:hint="eastAsia" w:ascii="Times New Roman" w:hAnsi="Times New Roman" w:eastAsia="宋体" w:cs="宋体"/>
                <w:sz w:val="24"/>
                <w:szCs w:val="24"/>
                <w:lang w:val="en-US" w:eastAsia="zh-CN"/>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7B84138B">
            <w:pPr>
              <w:spacing w:line="360" w:lineRule="auto"/>
              <w:jc w:val="left"/>
              <w:rPr>
                <w:rFonts w:hint="eastAsia" w:ascii="Times New Roman" w:hAnsi="Times New Roman" w:eastAsia="宋体" w:cs="宋体"/>
                <w:sz w:val="24"/>
                <w:szCs w:val="24"/>
                <w:lang w:val="en-US" w:eastAsia="zh-CN"/>
              </w:rPr>
            </w:pPr>
          </w:p>
        </w:tc>
      </w:tr>
    </w:tbl>
    <w:p w14:paraId="450999E4">
      <w:pPr>
        <w:rPr>
          <w:rFonts w:ascii="Times New Roman" w:hAnsi="Times New Roman"/>
        </w:rPr>
      </w:pPr>
    </w:p>
    <w:tbl>
      <w:tblPr>
        <w:tblStyle w:val="6"/>
        <w:tblW w:w="9439" w:type="dxa"/>
        <w:jc w:val="center"/>
        <w:tblLayout w:type="fixed"/>
        <w:tblCellMar>
          <w:top w:w="0" w:type="dxa"/>
          <w:left w:w="108" w:type="dxa"/>
          <w:bottom w:w="0" w:type="dxa"/>
          <w:right w:w="108" w:type="dxa"/>
        </w:tblCellMar>
      </w:tblPr>
      <w:tblGrid>
        <w:gridCol w:w="1221"/>
        <w:gridCol w:w="6180"/>
        <w:gridCol w:w="1050"/>
        <w:gridCol w:w="988"/>
      </w:tblGrid>
      <w:tr w14:paraId="1060ABD5">
        <w:tblPrEx>
          <w:tblCellMar>
            <w:top w:w="0" w:type="dxa"/>
            <w:left w:w="108" w:type="dxa"/>
            <w:bottom w:w="0" w:type="dxa"/>
            <w:right w:w="108" w:type="dxa"/>
          </w:tblCellMar>
        </w:tblPrEx>
        <w:trPr>
          <w:trHeight w:val="788" w:hRule="atLeast"/>
          <w:jc w:val="center"/>
        </w:trPr>
        <w:tc>
          <w:tcPr>
            <w:tcW w:w="9439" w:type="dxa"/>
            <w:gridSpan w:val="4"/>
            <w:tcBorders>
              <w:top w:val="single" w:color="auto" w:sz="4" w:space="0"/>
              <w:left w:val="single" w:color="auto" w:sz="4" w:space="0"/>
              <w:bottom w:val="single" w:color="auto" w:sz="4" w:space="0"/>
              <w:right w:val="single" w:color="auto" w:sz="4" w:space="0"/>
            </w:tcBorders>
            <w:noWrap w:val="0"/>
            <w:vAlign w:val="center"/>
          </w:tcPr>
          <w:p w14:paraId="22A2A361">
            <w:pPr>
              <w:ind w:firstLine="3654" w:firstLineChars="1300"/>
              <w:rPr>
                <w:rFonts w:hint="default" w:ascii="Times New Roman" w:hAnsi="Times New Roman" w:eastAsia="宋体" w:cs="Arial"/>
                <w:color w:val="FF0000"/>
                <w:kern w:val="2"/>
                <w:sz w:val="22"/>
                <w:szCs w:val="22"/>
                <w:lang w:val="en-US" w:eastAsia="zh-CN" w:bidi="ar-SA"/>
              </w:rPr>
            </w:pPr>
            <w:r>
              <w:rPr>
                <w:rFonts w:hint="eastAsia" w:ascii="Times New Roman" w:hAnsi="Times New Roman" w:cs="Arial"/>
                <w:b/>
                <w:bCs/>
                <w:color w:val="000000"/>
                <w:kern w:val="2"/>
                <w:sz w:val="28"/>
                <w:szCs w:val="28"/>
                <w:lang w:val="en-US" w:eastAsia="zh-CN" w:bidi="ar-SA"/>
              </w:rPr>
              <w:t>商务要求</w:t>
            </w:r>
          </w:p>
        </w:tc>
      </w:tr>
      <w:tr w14:paraId="38066672">
        <w:tblPrEx>
          <w:tblCellMar>
            <w:top w:w="0" w:type="dxa"/>
            <w:left w:w="108" w:type="dxa"/>
            <w:bottom w:w="0" w:type="dxa"/>
            <w:right w:w="108" w:type="dxa"/>
          </w:tblCellMar>
        </w:tblPrEx>
        <w:trPr>
          <w:trHeight w:val="663"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990403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imes New Roman" w:hAnsi="Times New Roman" w:eastAsia="宋体" w:cs="宋体"/>
                <w:b w:val="0"/>
                <w:bCs w:val="0"/>
                <w:color w:val="000000"/>
                <w:kern w:val="0"/>
                <w:sz w:val="24"/>
                <w:szCs w:val="24"/>
                <w:lang w:val="en-US" w:eastAsia="zh-CN" w:bidi="ar"/>
              </w:rPr>
            </w:pPr>
          </w:p>
        </w:tc>
        <w:tc>
          <w:tcPr>
            <w:tcW w:w="6180" w:type="dxa"/>
            <w:tcBorders>
              <w:top w:val="single" w:color="auto" w:sz="4" w:space="0"/>
              <w:left w:val="single" w:color="auto" w:sz="4" w:space="0"/>
              <w:bottom w:val="single" w:color="auto" w:sz="4" w:space="0"/>
              <w:right w:val="single" w:color="auto" w:sz="4" w:space="0"/>
            </w:tcBorders>
            <w:noWrap w:val="0"/>
            <w:vAlign w:val="center"/>
          </w:tcPr>
          <w:p w14:paraId="4E3F7E2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imes New Roman" w:hAnsi="Times New Roman" w:eastAsia="宋体" w:cs="宋体"/>
                <w:sz w:val="24"/>
                <w:szCs w:val="24"/>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FA9273F">
            <w:pPr>
              <w:widowControl/>
              <w:spacing w:line="300" w:lineRule="exact"/>
              <w:jc w:val="center"/>
              <w:textAlignment w:val="center"/>
              <w:rPr>
                <w:rFonts w:hint="eastAsia" w:ascii="Times New Roman" w:hAnsi="Times New Roman" w:eastAsia="宋体" w:cs="Arial"/>
                <w:color w:val="FF0000"/>
                <w:kern w:val="2"/>
                <w:sz w:val="22"/>
                <w:szCs w:val="22"/>
                <w:lang w:val="en-US" w:eastAsia="zh-CN" w:bidi="ar-SA"/>
              </w:rPr>
            </w:pPr>
            <w:r>
              <w:rPr>
                <w:rFonts w:hint="eastAsia" w:ascii="Times New Roman" w:hAnsi="Times New Roman" w:cs="宋体"/>
                <w:b/>
                <w:bCs/>
                <w:color w:val="000000"/>
                <w:kern w:val="0"/>
                <w:sz w:val="24"/>
                <w:szCs w:val="24"/>
                <w:lang w:bidi="ar"/>
              </w:rPr>
              <w:t>响应</w:t>
            </w:r>
          </w:p>
        </w:tc>
        <w:tc>
          <w:tcPr>
            <w:tcW w:w="988" w:type="dxa"/>
            <w:tcBorders>
              <w:top w:val="single" w:color="auto" w:sz="4" w:space="0"/>
              <w:left w:val="single" w:color="auto" w:sz="4" w:space="0"/>
              <w:bottom w:val="single" w:color="auto" w:sz="4" w:space="0"/>
              <w:right w:val="single" w:color="auto" w:sz="4" w:space="0"/>
            </w:tcBorders>
            <w:noWrap w:val="0"/>
            <w:vAlign w:val="center"/>
          </w:tcPr>
          <w:p w14:paraId="6DBB1C31">
            <w:pPr>
              <w:widowControl/>
              <w:spacing w:line="300" w:lineRule="exact"/>
              <w:jc w:val="center"/>
              <w:textAlignment w:val="center"/>
              <w:rPr>
                <w:rFonts w:hint="eastAsia" w:ascii="Times New Roman" w:hAnsi="Times New Roman" w:eastAsia="宋体" w:cs="Arial"/>
                <w:color w:val="FF0000"/>
                <w:kern w:val="2"/>
                <w:sz w:val="22"/>
                <w:szCs w:val="22"/>
                <w:lang w:val="en-US" w:eastAsia="zh-CN" w:bidi="ar-SA"/>
              </w:rPr>
            </w:pPr>
            <w:r>
              <w:rPr>
                <w:rFonts w:hint="eastAsia" w:ascii="Times New Roman" w:hAnsi="Times New Roman" w:cs="宋体"/>
                <w:b/>
                <w:bCs/>
                <w:color w:val="000000"/>
                <w:kern w:val="0"/>
                <w:sz w:val="24"/>
                <w:szCs w:val="24"/>
                <w:lang w:bidi="ar"/>
              </w:rPr>
              <w:t>偏离</w:t>
            </w:r>
          </w:p>
        </w:tc>
      </w:tr>
      <w:tr w14:paraId="3DE99C31">
        <w:tblPrEx>
          <w:tblCellMar>
            <w:top w:w="0" w:type="dxa"/>
            <w:left w:w="108" w:type="dxa"/>
            <w:bottom w:w="0" w:type="dxa"/>
            <w:right w:w="108" w:type="dxa"/>
          </w:tblCellMar>
        </w:tblPrEx>
        <w:trPr>
          <w:trHeight w:val="644"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5179B02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宋体" w:cs="宋体"/>
                <w:b w:val="0"/>
                <w:bCs w:val="0"/>
                <w:color w:val="000000"/>
                <w:kern w:val="0"/>
                <w:sz w:val="24"/>
                <w:szCs w:val="24"/>
                <w:lang w:val="en-US" w:eastAsia="zh-CN" w:bidi="ar"/>
              </w:rPr>
            </w:pPr>
            <w:r>
              <w:rPr>
                <w:rFonts w:hint="eastAsia" w:ascii="Times New Roman" w:hAnsi="Times New Roman" w:eastAsia="宋体" w:cs="宋体"/>
                <w:b w:val="0"/>
                <w:bCs w:val="0"/>
                <w:color w:val="000000"/>
                <w:kern w:val="0"/>
                <w:sz w:val="24"/>
                <w:szCs w:val="24"/>
                <w:lang w:val="en-US" w:eastAsia="zh-CN" w:bidi="ar"/>
              </w:rPr>
              <w:t>1</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1E65C75A">
            <w:pPr>
              <w:pStyle w:val="4"/>
              <w:numPr>
                <w:ilvl w:val="0"/>
                <w:numId w:val="0"/>
              </w:numPr>
              <w:adjustRightInd w:val="0"/>
              <w:snapToGrid w:val="0"/>
              <w:spacing w:after="0" w:line="360" w:lineRule="auto"/>
              <w:ind w:left="0" w:leftChars="0" w:firstLine="0" w:firstLineChars="0"/>
              <w:rPr>
                <w:rFonts w:hint="eastAsia" w:ascii="Times New Roman" w:hAnsi="Times New Roman"/>
                <w:szCs w:val="21"/>
              </w:rPr>
            </w:pPr>
            <w:r>
              <w:rPr>
                <w:rFonts w:hint="eastAsia" w:ascii="Times New Roman" w:hAnsi="Times New Roman" w:eastAsia="宋体" w:cs="宋体"/>
                <w:b w:val="0"/>
                <w:bCs w:val="0"/>
                <w:color w:val="000000"/>
                <w:kern w:val="2"/>
                <w:sz w:val="24"/>
                <w:szCs w:val="24"/>
                <w:lang w:val="en-US" w:eastAsia="zh-CN" w:bidi="ar-SA"/>
              </w:rPr>
              <w:t>付款方式：签订合同，服务满</w:t>
            </w:r>
            <w:r>
              <w:rPr>
                <w:rFonts w:hint="eastAsia" w:ascii="Times New Roman" w:hAnsi="Times New Roman" w:cs="宋体"/>
                <w:b w:val="0"/>
                <w:bCs w:val="0"/>
                <w:color w:val="000000"/>
                <w:kern w:val="2"/>
                <w:sz w:val="24"/>
                <w:szCs w:val="24"/>
                <w:lang w:val="en-US" w:eastAsia="zh-CN" w:bidi="ar-SA"/>
              </w:rPr>
              <w:t>六</w:t>
            </w:r>
            <w:r>
              <w:rPr>
                <w:rFonts w:hint="eastAsia" w:ascii="Times New Roman" w:hAnsi="Times New Roman" w:eastAsia="宋体" w:cs="宋体"/>
                <w:b w:val="0"/>
                <w:bCs w:val="0"/>
                <w:color w:val="000000"/>
                <w:kern w:val="2"/>
                <w:sz w:val="24"/>
                <w:szCs w:val="24"/>
                <w:lang w:val="en-US" w:eastAsia="zh-CN" w:bidi="ar-SA"/>
              </w:rPr>
              <w:t>个月组织验收，验收合格后支付第一年度的维保费用。第二年度第十二个月支付第二年维保费用。服务期满无异议后支付第三年维保费用。</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32F6E505">
            <w:pPr>
              <w:rPr>
                <w:rFonts w:hint="eastAsia" w:ascii="Times New Roman" w:hAnsi="Times New Roman"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6077F17A">
            <w:pPr>
              <w:rPr>
                <w:rFonts w:hint="eastAsia" w:ascii="Times New Roman" w:hAnsi="Times New Roman" w:eastAsia="宋体" w:cs="Arial"/>
                <w:color w:val="FF0000"/>
                <w:kern w:val="2"/>
                <w:sz w:val="22"/>
                <w:szCs w:val="22"/>
                <w:lang w:val="en-US" w:eastAsia="zh-CN" w:bidi="ar-SA"/>
              </w:rPr>
            </w:pPr>
          </w:p>
        </w:tc>
      </w:tr>
      <w:tr w14:paraId="2C4DEC19">
        <w:tblPrEx>
          <w:tblCellMar>
            <w:top w:w="0" w:type="dxa"/>
            <w:left w:w="108" w:type="dxa"/>
            <w:bottom w:w="0" w:type="dxa"/>
            <w:right w:w="108" w:type="dxa"/>
          </w:tblCellMar>
        </w:tblPrEx>
        <w:trPr>
          <w:trHeight w:val="953"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0A7893C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宋体" w:cs="宋体"/>
                <w:b w:val="0"/>
                <w:bCs w:val="0"/>
                <w:color w:val="000000"/>
                <w:kern w:val="0"/>
                <w:sz w:val="24"/>
                <w:szCs w:val="24"/>
                <w:lang w:val="en-US" w:eastAsia="zh-CN" w:bidi="ar"/>
              </w:rPr>
            </w:pPr>
            <w:r>
              <w:rPr>
                <w:rFonts w:hint="eastAsia" w:ascii="Times New Roman" w:hAnsi="Times New Roman" w:eastAsia="宋体" w:cs="宋体"/>
                <w:b w:val="0"/>
                <w:bCs w:val="0"/>
                <w:color w:val="000000"/>
                <w:kern w:val="0"/>
                <w:sz w:val="24"/>
                <w:szCs w:val="24"/>
                <w:lang w:val="en-US" w:eastAsia="zh-CN" w:bidi="ar"/>
              </w:rPr>
              <w:t>2</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2E10D51E">
            <w:pPr>
              <w:pStyle w:val="2"/>
              <w:pageBreakBefore w:val="0"/>
              <w:widowControl w:val="0"/>
              <w:kinsoku/>
              <w:wordWrap/>
              <w:overflowPunct/>
              <w:topLinePunct w:val="0"/>
              <w:autoSpaceDE/>
              <w:autoSpaceDN/>
              <w:bidi w:val="0"/>
              <w:adjustRightInd w:val="0"/>
              <w:snapToGrid w:val="0"/>
              <w:spacing w:before="156" w:after="156" w:line="360" w:lineRule="exact"/>
              <w:ind w:left="0" w:leftChars="0"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b w:val="0"/>
                <w:bCs w:val="0"/>
                <w:color w:val="000000"/>
                <w:kern w:val="2"/>
                <w:sz w:val="24"/>
                <w:szCs w:val="24"/>
                <w:lang w:val="en-US" w:eastAsia="zh-CN" w:bidi="ar-SA"/>
              </w:rPr>
              <w:t>维保地点：东湖院区（八一大道445号）。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858DB81">
            <w:pPr>
              <w:rPr>
                <w:rFonts w:hint="eastAsia" w:ascii="Times New Roman" w:hAnsi="Times New Roman"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79CCFD81">
            <w:pPr>
              <w:rPr>
                <w:rFonts w:hint="eastAsia" w:ascii="Times New Roman" w:hAnsi="Times New Roman" w:eastAsia="宋体" w:cs="Arial"/>
                <w:color w:val="FF0000"/>
                <w:kern w:val="2"/>
                <w:sz w:val="22"/>
                <w:szCs w:val="22"/>
                <w:lang w:val="en-US" w:eastAsia="zh-CN" w:bidi="ar-SA"/>
              </w:rPr>
            </w:pPr>
          </w:p>
        </w:tc>
      </w:tr>
      <w:tr w14:paraId="7B84FD2E">
        <w:tblPrEx>
          <w:tblCellMar>
            <w:top w:w="0" w:type="dxa"/>
            <w:left w:w="108" w:type="dxa"/>
            <w:bottom w:w="0" w:type="dxa"/>
            <w:right w:w="108" w:type="dxa"/>
          </w:tblCellMar>
        </w:tblPrEx>
        <w:trPr>
          <w:trHeight w:val="953"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252F5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imes New Roman" w:hAnsi="Times New Roman" w:eastAsia="宋体" w:cs="宋体"/>
                <w:b w:val="0"/>
                <w:bCs w:val="0"/>
                <w:color w:val="000000"/>
                <w:kern w:val="0"/>
                <w:sz w:val="24"/>
                <w:szCs w:val="24"/>
                <w:lang w:val="en-US" w:eastAsia="zh-CN" w:bidi="ar"/>
              </w:rPr>
            </w:pPr>
            <w:r>
              <w:rPr>
                <w:rFonts w:hint="eastAsia" w:ascii="Times New Roman" w:hAnsi="Times New Roman" w:eastAsia="宋体" w:cs="宋体"/>
                <w:b w:val="0"/>
                <w:bCs w:val="0"/>
                <w:color w:val="000000"/>
                <w:kern w:val="0"/>
                <w:sz w:val="24"/>
                <w:szCs w:val="24"/>
                <w:lang w:val="en-US" w:eastAsia="zh-CN" w:bidi="ar"/>
              </w:rPr>
              <w:t>3</w:t>
            </w:r>
          </w:p>
        </w:tc>
        <w:tc>
          <w:tcPr>
            <w:tcW w:w="6180" w:type="dxa"/>
            <w:tcBorders>
              <w:top w:val="single" w:color="auto" w:sz="4" w:space="0"/>
              <w:left w:val="single" w:color="auto" w:sz="4" w:space="0"/>
              <w:bottom w:val="single" w:color="auto" w:sz="4" w:space="0"/>
              <w:right w:val="single" w:color="auto" w:sz="4" w:space="0"/>
            </w:tcBorders>
            <w:noWrap w:val="0"/>
            <w:vAlign w:val="center"/>
          </w:tcPr>
          <w:p w14:paraId="66570749">
            <w:pPr>
              <w:pStyle w:val="2"/>
              <w:pageBreakBefore w:val="0"/>
              <w:widowControl w:val="0"/>
              <w:kinsoku/>
              <w:wordWrap/>
              <w:overflowPunct/>
              <w:topLinePunct w:val="0"/>
              <w:autoSpaceDE/>
              <w:autoSpaceDN/>
              <w:bidi w:val="0"/>
              <w:adjustRightInd w:val="0"/>
              <w:snapToGrid w:val="0"/>
              <w:spacing w:before="156" w:after="156" w:line="360" w:lineRule="exact"/>
              <w:ind w:left="0" w:leftChars="0"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b w:val="0"/>
                <w:bCs w:val="0"/>
                <w:color w:val="000000"/>
                <w:kern w:val="2"/>
                <w:sz w:val="24"/>
                <w:szCs w:val="24"/>
                <w:lang w:val="en-US" w:eastAsia="zh-CN" w:bidi="ar-SA"/>
              </w:rPr>
              <w:t xml:space="preserve">维保费报价含人工、材料等一切费用。 </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26A11656">
            <w:pPr>
              <w:rPr>
                <w:rFonts w:hint="eastAsia" w:ascii="Times New Roman" w:hAnsi="Times New Roman" w:eastAsia="宋体" w:cs="Arial"/>
                <w:color w:val="FF0000"/>
                <w:kern w:val="2"/>
                <w:sz w:val="22"/>
                <w:szCs w:val="22"/>
                <w:lang w:val="en-US" w:eastAsia="zh-CN" w:bidi="ar-SA"/>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31612A53">
            <w:pPr>
              <w:rPr>
                <w:rFonts w:hint="eastAsia" w:ascii="Times New Roman" w:hAnsi="Times New Roman" w:eastAsia="宋体" w:cs="Arial"/>
                <w:color w:val="FF0000"/>
                <w:kern w:val="2"/>
                <w:sz w:val="22"/>
                <w:szCs w:val="22"/>
                <w:lang w:val="en-US" w:eastAsia="zh-CN" w:bidi="ar-SA"/>
              </w:rPr>
            </w:pPr>
          </w:p>
        </w:tc>
      </w:tr>
    </w:tbl>
    <w:p w14:paraId="283B4C41">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274DF"/>
    <w:rsid w:val="266B42BF"/>
    <w:rsid w:val="2E8E1CA7"/>
    <w:rsid w:val="51254295"/>
    <w:rsid w:val="696B145D"/>
    <w:rsid w:val="6C67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3"/>
    <w:basedOn w:val="1"/>
    <w:unhideWhenUsed/>
    <w:qFormat/>
    <w:uiPriority w:val="99"/>
    <w:pPr>
      <w:spacing w:after="120"/>
      <w:ind w:left="420" w:leftChars="200"/>
    </w:pPr>
    <w:rPr>
      <w:rFonts w:cs="Times New Roman"/>
      <w:sz w:val="16"/>
      <w:szCs w:val="16"/>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999</Characters>
  <Lines>0</Lines>
  <Paragraphs>0</Paragraphs>
  <TotalTime>226</TotalTime>
  <ScaleCrop>false</ScaleCrop>
  <LinksUpToDate>false</LinksUpToDate>
  <CharactersWithSpaces>1001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2025-07-08T02:03:00Z</dcterms:created>
  <dc:creator>yxzwb</dc:creator>
  <cp:lastModifiedBy>伞迦楠</cp:lastModifiedBy>
  <dcterms:modified xsi:type="dcterms:W3CDTF">2025-07-08T08:05:55Z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eyJoZGlkIjoiNGRhZjAzZDE2NTk2NjcxMWE1MjU0MWViNzMyNjFkYzEiLCJ1c2VySWQiOiI5OTE3NjU2MTAifQ==</vt:lpwstr>
  </property>
  <property fmtid="{D5CDD505-2E9C-101B-9397-08002B2CF9AE}" pid="4" name="ICV">
    <vt:lpwstr>0452AF78A96E4FD6BEF09DA64D606E8A_12</vt:lpwstr>
  </property>
</Properties>
</file>