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3"/>
        <w:tblW w:w="9439" w:type="dxa"/>
        <w:tblInd w:w="-5" w:type="dxa"/>
        <w:tblLayout w:type="fixed"/>
        <w:tblCellMar>
          <w:top w:w="0" w:type="dxa"/>
          <w:left w:w="108" w:type="dxa"/>
          <w:bottom w:w="0" w:type="dxa"/>
          <w:right w:w="108" w:type="dxa"/>
        </w:tblCellMar>
      </w:tblPr>
      <w:tblGrid>
        <w:gridCol w:w="1221"/>
        <w:gridCol w:w="6240"/>
        <w:gridCol w:w="990"/>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交接转运车</w:t>
            </w:r>
          </w:p>
        </w:tc>
        <w:tc>
          <w:tcPr>
            <w:tcW w:w="990" w:type="dxa"/>
            <w:tcBorders>
              <w:top w:val="single" w:color="000000" w:sz="4" w:space="0"/>
              <w:left w:val="single" w:color="000000" w:sz="4" w:space="0"/>
              <w:bottom w:val="single" w:color="000000" w:sz="4" w:space="0"/>
              <w:right w:val="single" w:color="000000" w:sz="4" w:space="0"/>
            </w:tcBorders>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BA33835">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3CDAF0B3">
            <w:pPr>
              <w:spacing w:line="360" w:lineRule="auto"/>
              <w:rPr>
                <w:rFonts w:hint="eastAsia"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5848EB9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规格</w:t>
            </w:r>
          </w:p>
        </w:tc>
        <w:tc>
          <w:tcPr>
            <w:tcW w:w="990" w:type="dxa"/>
            <w:tcBorders>
              <w:top w:val="single" w:color="auto" w:sz="4" w:space="0"/>
              <w:left w:val="single" w:color="auto" w:sz="4" w:space="0"/>
              <w:bottom w:val="single" w:color="auto" w:sz="4" w:space="0"/>
              <w:right w:val="single" w:color="auto" w:sz="4" w:space="0"/>
            </w:tcBorders>
            <w:vAlign w:val="top"/>
          </w:tcPr>
          <w:p w14:paraId="0C787F3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4911033">
            <w:pPr>
              <w:spacing w:line="360" w:lineRule="auto"/>
              <w:rPr>
                <w:rFonts w:hint="eastAsia" w:ascii="宋体" w:hAnsi="宋体" w:eastAsia="宋体" w:cs="宋体"/>
                <w:sz w:val="24"/>
                <w:szCs w:val="24"/>
                <w:lang w:val="en-US" w:eastAsia="zh-CN"/>
              </w:rPr>
            </w:pPr>
          </w:p>
        </w:tc>
      </w:tr>
      <w:tr w14:paraId="43E5A81F">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601CF37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1C8EDC59">
            <w:pPr>
              <w:rPr>
                <w:rFonts w:hint="eastAsia"/>
                <w:sz w:val="24"/>
                <w:szCs w:val="24"/>
                <w:lang w:val="en-US" w:eastAsia="zh-CN"/>
              </w:rPr>
            </w:pPr>
            <w:r>
              <w:rPr>
                <w:rFonts w:hint="eastAsia"/>
                <w:sz w:val="24"/>
                <w:szCs w:val="24"/>
              </w:rPr>
              <w:t>长365*宽64/73*高64/97cm</w:t>
            </w:r>
          </w:p>
        </w:tc>
        <w:tc>
          <w:tcPr>
            <w:tcW w:w="990" w:type="dxa"/>
            <w:tcBorders>
              <w:top w:val="single" w:color="auto" w:sz="4" w:space="0"/>
              <w:left w:val="single" w:color="auto" w:sz="4" w:space="0"/>
              <w:bottom w:val="single" w:color="auto" w:sz="4" w:space="0"/>
              <w:right w:val="single" w:color="auto" w:sz="4" w:space="0"/>
            </w:tcBorders>
            <w:vAlign w:val="top"/>
          </w:tcPr>
          <w:p w14:paraId="28494DC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EA6B9D4">
            <w:pPr>
              <w:spacing w:line="360" w:lineRule="auto"/>
              <w:rPr>
                <w:rFonts w:hint="eastAsia" w:ascii="宋体" w:hAnsi="宋体" w:eastAsia="宋体" w:cs="宋体"/>
                <w:sz w:val="24"/>
                <w:szCs w:val="24"/>
                <w:lang w:val="en-US" w:eastAsia="zh-CN"/>
              </w:rPr>
            </w:pPr>
          </w:p>
        </w:tc>
      </w:tr>
      <w:tr w14:paraId="0498E52F">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1832A78B">
            <w:pPr>
              <w:spacing w:line="360" w:lineRule="auto"/>
              <w:rPr>
                <w:rFonts w:hint="eastAsia"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48E3D0F0">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材质</w:t>
            </w:r>
          </w:p>
        </w:tc>
        <w:tc>
          <w:tcPr>
            <w:tcW w:w="990" w:type="dxa"/>
            <w:tcBorders>
              <w:top w:val="single" w:color="auto" w:sz="4" w:space="0"/>
              <w:left w:val="single" w:color="auto" w:sz="4" w:space="0"/>
              <w:bottom w:val="single" w:color="auto" w:sz="4" w:space="0"/>
              <w:right w:val="single" w:color="auto" w:sz="4" w:space="0"/>
            </w:tcBorders>
            <w:vAlign w:val="top"/>
          </w:tcPr>
          <w:p w14:paraId="4360C30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1E0403F">
            <w:pPr>
              <w:spacing w:line="360" w:lineRule="auto"/>
              <w:rPr>
                <w:rFonts w:hint="eastAsia" w:ascii="宋体" w:hAnsi="宋体" w:eastAsia="宋体" w:cs="宋体"/>
                <w:sz w:val="24"/>
                <w:szCs w:val="24"/>
                <w:lang w:val="en-US" w:eastAsia="zh-CN"/>
              </w:rPr>
            </w:pPr>
          </w:p>
        </w:tc>
      </w:tr>
      <w:tr w14:paraId="582C066C">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3F2A2042">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122D43DD">
            <w:pPr>
              <w:spacing w:line="360" w:lineRule="auto"/>
              <w:ind w:right="600"/>
              <w:rPr>
                <w:rFonts w:hint="eastAsia" w:ascii="宋体" w:hAnsi="宋体" w:eastAsia="宋体" w:cs="宋体"/>
                <w:sz w:val="24"/>
                <w:szCs w:val="24"/>
                <w:lang w:val="en-US" w:eastAsia="zh-CN"/>
              </w:rPr>
            </w:pPr>
            <w:r>
              <w:rPr>
                <w:rFonts w:hint="eastAsia"/>
                <w:sz w:val="24"/>
                <w:szCs w:val="24"/>
              </w:rPr>
              <w:t>活动床床框采用≥30×40×1.5mm矩型钢管</w:t>
            </w:r>
          </w:p>
        </w:tc>
        <w:tc>
          <w:tcPr>
            <w:tcW w:w="990" w:type="dxa"/>
            <w:tcBorders>
              <w:top w:val="single" w:color="auto" w:sz="4" w:space="0"/>
              <w:left w:val="single" w:color="auto" w:sz="4" w:space="0"/>
              <w:bottom w:val="single" w:color="auto" w:sz="4" w:space="0"/>
              <w:right w:val="single" w:color="auto" w:sz="4" w:space="0"/>
            </w:tcBorders>
            <w:vAlign w:val="top"/>
          </w:tcPr>
          <w:p w14:paraId="535D79C0">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C7A2E51">
            <w:pPr>
              <w:spacing w:line="360" w:lineRule="auto"/>
              <w:rPr>
                <w:rFonts w:hint="eastAsia" w:ascii="宋体" w:hAnsi="宋体" w:eastAsia="宋体" w:cs="宋体"/>
                <w:sz w:val="24"/>
                <w:szCs w:val="24"/>
                <w:lang w:val="en-US" w:eastAsia="zh-CN"/>
              </w:rPr>
            </w:pPr>
          </w:p>
        </w:tc>
      </w:tr>
      <w:tr w14:paraId="66F00C7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53F0E08">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6867F73E">
            <w:pPr>
              <w:spacing w:line="360" w:lineRule="auto"/>
              <w:rPr>
                <w:rFonts w:hint="eastAsia" w:ascii="宋体" w:hAnsi="宋体" w:eastAsia="宋体" w:cs="宋体"/>
                <w:sz w:val="24"/>
                <w:szCs w:val="24"/>
                <w:lang w:val="en-US" w:eastAsia="zh-CN"/>
              </w:rPr>
            </w:pPr>
            <w:r>
              <w:rPr>
                <w:rFonts w:hint="eastAsia"/>
                <w:sz w:val="24"/>
                <w:szCs w:val="24"/>
              </w:rPr>
              <w:t>床面为两折两块组合，PP工程塑料一次性吹塑成型</w:t>
            </w:r>
          </w:p>
        </w:tc>
        <w:tc>
          <w:tcPr>
            <w:tcW w:w="990" w:type="dxa"/>
            <w:tcBorders>
              <w:top w:val="single" w:color="auto" w:sz="4" w:space="0"/>
              <w:left w:val="single" w:color="auto" w:sz="4" w:space="0"/>
              <w:bottom w:val="single" w:color="auto" w:sz="4" w:space="0"/>
              <w:right w:val="single" w:color="auto" w:sz="4" w:space="0"/>
            </w:tcBorders>
            <w:vAlign w:val="top"/>
          </w:tcPr>
          <w:p w14:paraId="560746B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95C5D1A">
            <w:pPr>
              <w:spacing w:line="360" w:lineRule="auto"/>
              <w:rPr>
                <w:rFonts w:hint="eastAsia" w:ascii="宋体" w:hAnsi="宋体" w:eastAsia="宋体" w:cs="宋体"/>
                <w:sz w:val="24"/>
                <w:szCs w:val="24"/>
                <w:lang w:val="en-US" w:eastAsia="zh-CN"/>
              </w:rPr>
            </w:pPr>
          </w:p>
        </w:tc>
      </w:tr>
      <w:tr w14:paraId="0A91D03E">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714CAC41">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7BD4DB47">
            <w:pPr>
              <w:spacing w:line="360" w:lineRule="auto"/>
              <w:rPr>
                <w:rFonts w:hint="eastAsia" w:ascii="宋体" w:hAnsi="宋体" w:eastAsia="宋体" w:cs="宋体"/>
                <w:sz w:val="24"/>
                <w:szCs w:val="24"/>
                <w:lang w:val="en-US" w:eastAsia="zh-CN"/>
              </w:rPr>
            </w:pPr>
            <w:r>
              <w:rPr>
                <w:rFonts w:hint="eastAsia"/>
                <w:sz w:val="24"/>
                <w:szCs w:val="24"/>
              </w:rPr>
              <w:t>床头两边各壹个点滴架插座，孔径20mm,由金属材质冲压成型，内配ABS工程塑料内芯，防止点滴架使用过程中损坏和降低噪音</w:t>
            </w:r>
          </w:p>
        </w:tc>
        <w:tc>
          <w:tcPr>
            <w:tcW w:w="990" w:type="dxa"/>
            <w:tcBorders>
              <w:top w:val="single" w:color="auto" w:sz="4" w:space="0"/>
              <w:left w:val="single" w:color="auto" w:sz="4" w:space="0"/>
              <w:bottom w:val="single" w:color="auto" w:sz="4" w:space="0"/>
              <w:right w:val="single" w:color="auto" w:sz="4" w:space="0"/>
            </w:tcBorders>
            <w:vAlign w:val="top"/>
          </w:tcPr>
          <w:p w14:paraId="5B1D55E1">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90550EA">
            <w:pPr>
              <w:spacing w:line="360" w:lineRule="auto"/>
              <w:rPr>
                <w:rFonts w:hint="eastAsia" w:ascii="宋体" w:hAnsi="宋体" w:eastAsia="宋体" w:cs="宋体"/>
                <w:sz w:val="24"/>
                <w:szCs w:val="24"/>
                <w:lang w:val="en-US" w:eastAsia="zh-CN"/>
              </w:rPr>
            </w:pPr>
          </w:p>
        </w:tc>
      </w:tr>
      <w:tr w14:paraId="75923B89">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63A2A2FF">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240" w:type="dxa"/>
            <w:tcBorders>
              <w:top w:val="single" w:color="auto" w:sz="4" w:space="0"/>
              <w:left w:val="single" w:color="auto" w:sz="4" w:space="0"/>
              <w:bottom w:val="single" w:color="auto" w:sz="4" w:space="0"/>
              <w:right w:val="single" w:color="auto" w:sz="4" w:space="0"/>
            </w:tcBorders>
            <w:vAlign w:val="center"/>
          </w:tcPr>
          <w:p w14:paraId="7F52C8A6">
            <w:pPr>
              <w:spacing w:line="360" w:lineRule="auto"/>
              <w:rPr>
                <w:rFonts w:hint="eastAsia" w:ascii="宋体" w:hAnsi="宋体" w:eastAsia="宋体" w:cs="宋体"/>
                <w:sz w:val="24"/>
                <w:szCs w:val="24"/>
                <w:lang w:val="en-US" w:eastAsia="zh-CN"/>
              </w:rPr>
            </w:pPr>
            <w:r>
              <w:rPr>
                <w:rFonts w:hint="eastAsia"/>
                <w:sz w:val="24"/>
                <w:szCs w:val="24"/>
                <w:lang w:eastAsia="zh-CN"/>
              </w:rPr>
              <w:t>304不锈钢</w:t>
            </w:r>
            <w:r>
              <w:rPr>
                <w:rFonts w:hint="eastAsia"/>
                <w:sz w:val="24"/>
                <w:szCs w:val="24"/>
              </w:rPr>
              <w:t>双段式四爪点滴架,直径19mm,结实耐用</w:t>
            </w:r>
          </w:p>
        </w:tc>
        <w:tc>
          <w:tcPr>
            <w:tcW w:w="990" w:type="dxa"/>
            <w:tcBorders>
              <w:top w:val="single" w:color="auto" w:sz="4" w:space="0"/>
              <w:left w:val="single" w:color="auto" w:sz="4" w:space="0"/>
              <w:bottom w:val="single" w:color="auto" w:sz="4" w:space="0"/>
              <w:right w:val="single" w:color="auto" w:sz="4" w:space="0"/>
            </w:tcBorders>
            <w:vAlign w:val="top"/>
          </w:tcPr>
          <w:p w14:paraId="3B5BD8A6">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0DDAEC89">
            <w:pPr>
              <w:spacing w:line="360" w:lineRule="auto"/>
              <w:rPr>
                <w:rFonts w:hint="eastAsia" w:ascii="宋体" w:hAnsi="宋体" w:eastAsia="宋体" w:cs="宋体"/>
                <w:sz w:val="24"/>
                <w:szCs w:val="24"/>
                <w:lang w:val="en-US" w:eastAsia="zh-CN"/>
              </w:rPr>
            </w:pPr>
          </w:p>
        </w:tc>
      </w:tr>
      <w:tr w14:paraId="4EF1E7D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9ADFD8">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240" w:type="dxa"/>
            <w:tcBorders>
              <w:top w:val="single" w:color="auto" w:sz="4" w:space="0"/>
              <w:left w:val="single" w:color="auto" w:sz="4" w:space="0"/>
              <w:bottom w:val="single" w:color="auto" w:sz="4" w:space="0"/>
              <w:right w:val="single" w:color="auto" w:sz="4" w:space="0"/>
            </w:tcBorders>
            <w:vAlign w:val="center"/>
          </w:tcPr>
          <w:p w14:paraId="17A4904C">
            <w:pPr>
              <w:spacing w:line="360" w:lineRule="auto"/>
              <w:rPr>
                <w:rFonts w:hint="eastAsia" w:ascii="宋体" w:hAnsi="宋体" w:eastAsia="宋体" w:cs="宋体"/>
                <w:sz w:val="24"/>
                <w:szCs w:val="24"/>
                <w:lang w:val="en-US" w:eastAsia="zh-CN"/>
              </w:rPr>
            </w:pPr>
            <w:r>
              <w:rPr>
                <w:rFonts w:hint="eastAsia" w:ascii="宋体" w:hAnsi="宋体" w:eastAsia="宋体"/>
                <w:color w:val="000000"/>
                <w:sz w:val="24"/>
                <w:szCs w:val="24"/>
              </w:rPr>
              <w:t>床带欧式</w:t>
            </w:r>
            <w:r>
              <w:rPr>
                <w:rFonts w:hint="eastAsia" w:ascii="Calibri" w:hAnsi="Calibri" w:eastAsia="Calibri"/>
                <w:color w:val="000000"/>
                <w:sz w:val="24"/>
                <w:szCs w:val="24"/>
              </w:rPr>
              <w:t>PP</w:t>
            </w:r>
            <w:r>
              <w:rPr>
                <w:rFonts w:hint="eastAsia" w:ascii="宋体" w:hAnsi="宋体" w:eastAsia="宋体"/>
                <w:color w:val="000000"/>
                <w:sz w:val="24"/>
                <w:szCs w:val="24"/>
              </w:rPr>
              <w:t>护栏</w:t>
            </w:r>
            <w:r>
              <w:rPr>
                <w:rFonts w:hint="eastAsia" w:ascii="Calibri" w:hAnsi="Calibri" w:eastAsia="Calibri"/>
                <w:color w:val="000000"/>
                <w:sz w:val="24"/>
                <w:szCs w:val="24"/>
              </w:rPr>
              <w:t>4</w:t>
            </w:r>
            <w:r>
              <w:rPr>
                <w:rFonts w:hint="eastAsia" w:ascii="宋体" w:hAnsi="宋体" w:eastAsia="宋体"/>
                <w:color w:val="000000"/>
                <w:sz w:val="24"/>
                <w:szCs w:val="24"/>
              </w:rPr>
              <w:t>片，护栏可上下升降，护栏转动柄上有暗开关，可控制上升下降，护栏具有缓冲机构，有助于护栏平缓下降，减少噪音及护栏损坏率；护栏下降收缩时平齐床面，可以减少空间以及便于临床的操作</w:t>
            </w:r>
          </w:p>
        </w:tc>
        <w:tc>
          <w:tcPr>
            <w:tcW w:w="990" w:type="dxa"/>
            <w:tcBorders>
              <w:top w:val="single" w:color="auto" w:sz="4" w:space="0"/>
              <w:left w:val="single" w:color="auto" w:sz="4" w:space="0"/>
              <w:bottom w:val="single" w:color="auto" w:sz="4" w:space="0"/>
              <w:right w:val="single" w:color="auto" w:sz="4" w:space="0"/>
            </w:tcBorders>
            <w:vAlign w:val="top"/>
          </w:tcPr>
          <w:p w14:paraId="7BF2683D">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F044BCC">
            <w:pPr>
              <w:spacing w:line="360" w:lineRule="auto"/>
              <w:rPr>
                <w:rFonts w:hint="eastAsia" w:ascii="宋体" w:hAnsi="宋体" w:eastAsia="宋体" w:cs="宋体"/>
                <w:sz w:val="24"/>
                <w:szCs w:val="24"/>
                <w:lang w:val="en-US" w:eastAsia="zh-CN"/>
              </w:rPr>
            </w:pPr>
          </w:p>
        </w:tc>
      </w:tr>
      <w:tr w14:paraId="55EEA32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869995">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240" w:type="dxa"/>
            <w:tcBorders>
              <w:top w:val="single" w:color="auto" w:sz="4" w:space="0"/>
              <w:left w:val="single" w:color="auto" w:sz="4" w:space="0"/>
              <w:bottom w:val="single" w:color="auto" w:sz="4" w:space="0"/>
              <w:right w:val="single" w:color="auto" w:sz="4" w:space="0"/>
            </w:tcBorders>
            <w:vAlign w:val="center"/>
          </w:tcPr>
          <w:p w14:paraId="3930EF55">
            <w:pPr>
              <w:spacing w:line="360" w:lineRule="auto"/>
              <w:ind w:left="280" w:right="600" w:hanging="280"/>
              <w:rPr>
                <w:rFonts w:hint="eastAsia" w:ascii="宋体" w:hAnsi="宋体" w:eastAsia="宋体" w:cs="宋体"/>
                <w:sz w:val="24"/>
                <w:szCs w:val="24"/>
                <w:lang w:val="en-US" w:eastAsia="zh-CN"/>
              </w:rPr>
            </w:pPr>
            <w:r>
              <w:rPr>
                <w:rFonts w:hint="eastAsia"/>
                <w:sz w:val="24"/>
                <w:szCs w:val="24"/>
              </w:rPr>
              <w:t>对接车分为内车和外车防止交叉感染。</w:t>
            </w:r>
          </w:p>
        </w:tc>
        <w:tc>
          <w:tcPr>
            <w:tcW w:w="990" w:type="dxa"/>
            <w:tcBorders>
              <w:top w:val="single" w:color="auto" w:sz="4" w:space="0"/>
              <w:left w:val="single" w:color="auto" w:sz="4" w:space="0"/>
              <w:bottom w:val="single" w:color="auto" w:sz="4" w:space="0"/>
              <w:right w:val="single" w:color="auto" w:sz="4" w:space="0"/>
            </w:tcBorders>
            <w:vAlign w:val="top"/>
          </w:tcPr>
          <w:p w14:paraId="1AA0405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C17B4A1">
            <w:pPr>
              <w:spacing w:line="360" w:lineRule="auto"/>
              <w:rPr>
                <w:rFonts w:hint="eastAsia" w:ascii="宋体" w:hAnsi="宋体" w:eastAsia="宋体" w:cs="宋体"/>
                <w:sz w:val="24"/>
                <w:szCs w:val="24"/>
                <w:lang w:val="en-US" w:eastAsia="zh-CN"/>
              </w:rPr>
            </w:pPr>
          </w:p>
        </w:tc>
      </w:tr>
      <w:tr w14:paraId="06485F8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83323B8">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6240" w:type="dxa"/>
            <w:tcBorders>
              <w:top w:val="single" w:color="auto" w:sz="4" w:space="0"/>
              <w:left w:val="single" w:color="auto" w:sz="4" w:space="0"/>
              <w:bottom w:val="single" w:color="auto" w:sz="4" w:space="0"/>
              <w:right w:val="single" w:color="auto" w:sz="4" w:space="0"/>
            </w:tcBorders>
            <w:vAlign w:val="center"/>
          </w:tcPr>
          <w:p w14:paraId="053C3FBB">
            <w:pPr>
              <w:spacing w:line="360" w:lineRule="auto"/>
              <w:rPr>
                <w:rFonts w:hint="default" w:ascii="宋体" w:hAnsi="宋体" w:eastAsia="宋体" w:cs="宋体"/>
                <w:sz w:val="24"/>
                <w:szCs w:val="24"/>
                <w:lang w:val="en-US" w:eastAsia="zh-CN"/>
              </w:rPr>
            </w:pPr>
            <w:r>
              <w:rPr>
                <w:rFonts w:hint="eastAsia"/>
                <w:sz w:val="24"/>
                <w:szCs w:val="24"/>
              </w:rPr>
              <w:t>注塑成型ABS工程塑料底罩或金属防尘套。更易清洁卫生</w:t>
            </w:r>
          </w:p>
        </w:tc>
        <w:tc>
          <w:tcPr>
            <w:tcW w:w="990" w:type="dxa"/>
            <w:tcBorders>
              <w:top w:val="single" w:color="auto" w:sz="4" w:space="0"/>
              <w:left w:val="single" w:color="auto" w:sz="4" w:space="0"/>
              <w:bottom w:val="single" w:color="auto" w:sz="4" w:space="0"/>
              <w:right w:val="single" w:color="auto" w:sz="4" w:space="0"/>
            </w:tcBorders>
            <w:vAlign w:val="top"/>
          </w:tcPr>
          <w:p w14:paraId="2A60C70A">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BCD7442">
            <w:pPr>
              <w:spacing w:line="360" w:lineRule="auto"/>
              <w:rPr>
                <w:rFonts w:hint="eastAsia" w:ascii="宋体" w:hAnsi="宋体" w:eastAsia="宋体" w:cs="宋体"/>
                <w:sz w:val="24"/>
                <w:szCs w:val="24"/>
                <w:lang w:val="en-US" w:eastAsia="zh-CN"/>
              </w:rPr>
            </w:pPr>
          </w:p>
        </w:tc>
      </w:tr>
      <w:tr w14:paraId="75098D9D">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06B477A7">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6240" w:type="dxa"/>
            <w:tcBorders>
              <w:top w:val="single" w:color="auto" w:sz="4" w:space="0"/>
              <w:left w:val="single" w:color="auto" w:sz="4" w:space="0"/>
              <w:bottom w:val="single" w:color="auto" w:sz="4" w:space="0"/>
              <w:right w:val="single" w:color="auto" w:sz="4" w:space="0"/>
            </w:tcBorders>
            <w:vAlign w:val="center"/>
          </w:tcPr>
          <w:p w14:paraId="241BB8DC">
            <w:pPr>
              <w:spacing w:line="360" w:lineRule="auto"/>
              <w:rPr>
                <w:rFonts w:hint="eastAsia"/>
                <w:sz w:val="24"/>
                <w:szCs w:val="24"/>
              </w:rPr>
            </w:pPr>
            <w:r>
              <w:rPr>
                <w:rFonts w:hint="eastAsia"/>
                <w:sz w:val="24"/>
                <w:szCs w:val="24"/>
              </w:rPr>
              <w:t>对接车轨道采用高强度铝合金型材，在活动床对接运动中更稳定可靠</w:t>
            </w:r>
          </w:p>
        </w:tc>
        <w:tc>
          <w:tcPr>
            <w:tcW w:w="990" w:type="dxa"/>
            <w:tcBorders>
              <w:top w:val="single" w:color="auto" w:sz="4" w:space="0"/>
              <w:left w:val="single" w:color="auto" w:sz="4" w:space="0"/>
              <w:bottom w:val="single" w:color="auto" w:sz="4" w:space="0"/>
              <w:right w:val="single" w:color="auto" w:sz="4" w:space="0"/>
            </w:tcBorders>
            <w:vAlign w:val="top"/>
          </w:tcPr>
          <w:p w14:paraId="68985C7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099F27A">
            <w:pPr>
              <w:spacing w:line="360" w:lineRule="auto"/>
              <w:rPr>
                <w:rFonts w:hint="eastAsia" w:ascii="宋体" w:hAnsi="宋体" w:eastAsia="宋体" w:cs="宋体"/>
                <w:sz w:val="24"/>
                <w:szCs w:val="24"/>
                <w:lang w:val="en-US" w:eastAsia="zh-CN"/>
              </w:rPr>
            </w:pPr>
          </w:p>
        </w:tc>
      </w:tr>
      <w:tr w14:paraId="0B5A1B0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862B8F0">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6240" w:type="dxa"/>
            <w:tcBorders>
              <w:top w:val="single" w:color="auto" w:sz="4" w:space="0"/>
              <w:left w:val="single" w:color="auto" w:sz="4" w:space="0"/>
              <w:bottom w:val="single" w:color="auto" w:sz="4" w:space="0"/>
              <w:right w:val="single" w:color="auto" w:sz="4" w:space="0"/>
            </w:tcBorders>
            <w:vAlign w:val="center"/>
          </w:tcPr>
          <w:p w14:paraId="309280F0">
            <w:pPr>
              <w:rPr>
                <w:rFonts w:hint="eastAsia"/>
                <w:sz w:val="24"/>
                <w:szCs w:val="24"/>
              </w:rPr>
            </w:pPr>
            <w:r>
              <w:rPr>
                <w:rFonts w:hint="eastAsia"/>
                <w:sz w:val="24"/>
                <w:szCs w:val="24"/>
              </w:rPr>
              <w:t>内、外车可升降调节，在两车铝合金导轨处于同一水平下，可使活动床平稳滑动，配4寸导向轮装置，可单人操作。</w:t>
            </w:r>
          </w:p>
        </w:tc>
        <w:tc>
          <w:tcPr>
            <w:tcW w:w="990"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77642F4">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6240" w:type="dxa"/>
            <w:tcBorders>
              <w:top w:val="single" w:color="auto" w:sz="4" w:space="0"/>
              <w:left w:val="single" w:color="auto" w:sz="4" w:space="0"/>
              <w:bottom w:val="single" w:color="auto" w:sz="4" w:space="0"/>
              <w:right w:val="single" w:color="auto" w:sz="4" w:space="0"/>
            </w:tcBorders>
            <w:vAlign w:val="center"/>
          </w:tcPr>
          <w:p w14:paraId="21E06447">
            <w:pPr>
              <w:spacing w:line="360" w:lineRule="auto"/>
              <w:rPr>
                <w:rFonts w:hint="eastAsia"/>
                <w:sz w:val="24"/>
                <w:szCs w:val="24"/>
              </w:rPr>
            </w:pPr>
            <w:r>
              <w:rPr>
                <w:rFonts w:hint="eastAsia"/>
                <w:sz w:val="24"/>
                <w:szCs w:val="24"/>
              </w:rPr>
              <w:t>内车、外车对接时，有自动锁定装置，防止活动床滑动时因为内外车滑动导致病人跌落</w:t>
            </w:r>
          </w:p>
        </w:tc>
        <w:tc>
          <w:tcPr>
            <w:tcW w:w="990"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DAC27AE">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6240" w:type="dxa"/>
            <w:tcBorders>
              <w:top w:val="single" w:color="auto" w:sz="4" w:space="0"/>
              <w:left w:val="single" w:color="auto" w:sz="4" w:space="0"/>
              <w:bottom w:val="single" w:color="auto" w:sz="4" w:space="0"/>
              <w:right w:val="single" w:color="auto" w:sz="4" w:space="0"/>
            </w:tcBorders>
            <w:vAlign w:val="center"/>
          </w:tcPr>
          <w:p w14:paraId="0A7B4493">
            <w:pPr>
              <w:spacing w:line="360" w:lineRule="auto"/>
              <w:rPr>
                <w:rFonts w:hint="eastAsia"/>
                <w:sz w:val="24"/>
                <w:szCs w:val="24"/>
              </w:rPr>
            </w:pPr>
            <w:r>
              <w:rPr>
                <w:rFonts w:hint="eastAsia"/>
                <w:sz w:val="24"/>
                <w:szCs w:val="24"/>
              </w:rPr>
              <w:t>在活动床滑移到内车或外车时有自动锁定装置，确保安全</w:t>
            </w:r>
          </w:p>
        </w:tc>
        <w:tc>
          <w:tcPr>
            <w:tcW w:w="990"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114DCD9">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6240" w:type="dxa"/>
            <w:tcBorders>
              <w:top w:val="single" w:color="auto" w:sz="4" w:space="0"/>
              <w:left w:val="single" w:color="auto" w:sz="4" w:space="0"/>
              <w:bottom w:val="single" w:color="auto" w:sz="4" w:space="0"/>
              <w:right w:val="single" w:color="auto" w:sz="4" w:space="0"/>
            </w:tcBorders>
            <w:vAlign w:val="center"/>
          </w:tcPr>
          <w:p w14:paraId="2BC6476C">
            <w:pPr>
              <w:spacing w:line="360" w:lineRule="auto"/>
              <w:rPr>
                <w:rFonts w:hint="eastAsia"/>
                <w:sz w:val="24"/>
                <w:szCs w:val="24"/>
              </w:rPr>
            </w:pPr>
            <w:r>
              <w:rPr>
                <w:rFonts w:hint="eastAsia"/>
                <w:sz w:val="24"/>
                <w:szCs w:val="24"/>
              </w:rPr>
              <w:t>刹车系统：内、外对接车，采用6英寸中控脚轮，一脚式中央控制刹车，一脚刹车四轮定位，在转运或对接是更可靠平稳无晃动。</w:t>
            </w:r>
          </w:p>
        </w:tc>
        <w:tc>
          <w:tcPr>
            <w:tcW w:w="990"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1DDD5A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B7080CA">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13</w:t>
            </w:r>
          </w:p>
        </w:tc>
        <w:tc>
          <w:tcPr>
            <w:tcW w:w="6240" w:type="dxa"/>
            <w:tcBorders>
              <w:top w:val="single" w:color="auto" w:sz="4" w:space="0"/>
              <w:left w:val="single" w:color="auto" w:sz="4" w:space="0"/>
              <w:bottom w:val="single" w:color="auto" w:sz="4" w:space="0"/>
              <w:right w:val="single" w:color="auto" w:sz="4" w:space="0"/>
            </w:tcBorders>
            <w:vAlign w:val="center"/>
          </w:tcPr>
          <w:p w14:paraId="4BAB676E">
            <w:pPr>
              <w:spacing w:line="360" w:lineRule="auto"/>
              <w:rPr>
                <w:rFonts w:hint="eastAsia"/>
                <w:sz w:val="24"/>
                <w:szCs w:val="24"/>
              </w:rPr>
            </w:pPr>
            <w:r>
              <w:rPr>
                <w:rFonts w:hint="eastAsia"/>
                <w:sz w:val="24"/>
                <w:szCs w:val="24"/>
              </w:rPr>
              <w:t>中间导向轮设计，转运灵活，降低医护人员工作强度。</w:t>
            </w:r>
          </w:p>
        </w:tc>
        <w:tc>
          <w:tcPr>
            <w:tcW w:w="990" w:type="dxa"/>
            <w:tcBorders>
              <w:top w:val="single" w:color="auto" w:sz="4" w:space="0"/>
              <w:left w:val="single" w:color="auto" w:sz="4" w:space="0"/>
              <w:bottom w:val="single" w:color="auto" w:sz="4" w:space="0"/>
              <w:right w:val="single" w:color="auto" w:sz="4" w:space="0"/>
            </w:tcBorders>
            <w:vAlign w:val="top"/>
          </w:tcPr>
          <w:p w14:paraId="1EC1184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92EB156">
            <w:pPr>
              <w:spacing w:line="360" w:lineRule="auto"/>
              <w:rPr>
                <w:rFonts w:hint="eastAsia" w:ascii="宋体" w:hAnsi="宋体" w:eastAsia="宋体" w:cs="宋体"/>
                <w:sz w:val="24"/>
                <w:szCs w:val="24"/>
                <w:lang w:val="en-US" w:eastAsia="zh-CN"/>
              </w:rPr>
            </w:pPr>
          </w:p>
        </w:tc>
      </w:tr>
      <w:tr w14:paraId="1139A5C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2C0F7BC">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6240" w:type="dxa"/>
            <w:tcBorders>
              <w:top w:val="single" w:color="auto" w:sz="4" w:space="0"/>
              <w:left w:val="single" w:color="auto" w:sz="4" w:space="0"/>
              <w:bottom w:val="single" w:color="auto" w:sz="4" w:space="0"/>
              <w:right w:val="single" w:color="auto" w:sz="4" w:space="0"/>
            </w:tcBorders>
            <w:vAlign w:val="center"/>
          </w:tcPr>
          <w:p w14:paraId="44B3BA21">
            <w:pPr>
              <w:spacing w:line="360" w:lineRule="auto"/>
              <w:rPr>
                <w:rFonts w:hint="eastAsia"/>
                <w:sz w:val="24"/>
                <w:szCs w:val="24"/>
              </w:rPr>
            </w:pPr>
            <w:r>
              <w:rPr>
                <w:rFonts w:hint="eastAsia"/>
                <w:sz w:val="24"/>
                <w:szCs w:val="24"/>
              </w:rPr>
              <w:t>采用自有设备，汽车烤漆工艺；对车体金属表面处理采用双重涂层处理技术：除经过去油、除锈、磷化等工艺外，还通过电泳技术在金属管材内壁及表面均匀电泳上一层环氧树脂保护膜，再进行静电粉末喷涂，真正达到内外防锈，能延长病床的使用寿命</w:t>
            </w:r>
          </w:p>
        </w:tc>
        <w:tc>
          <w:tcPr>
            <w:tcW w:w="990" w:type="dxa"/>
            <w:tcBorders>
              <w:top w:val="single" w:color="auto" w:sz="4" w:space="0"/>
              <w:left w:val="single" w:color="auto" w:sz="4" w:space="0"/>
              <w:bottom w:val="single" w:color="auto" w:sz="4" w:space="0"/>
              <w:right w:val="single" w:color="auto" w:sz="4" w:space="0"/>
            </w:tcBorders>
            <w:vAlign w:val="top"/>
          </w:tcPr>
          <w:p w14:paraId="1AF8CD0D">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FDD497A">
            <w:pPr>
              <w:spacing w:line="360" w:lineRule="auto"/>
              <w:rPr>
                <w:rFonts w:hint="eastAsia" w:ascii="宋体" w:hAnsi="宋体" w:eastAsia="宋体" w:cs="宋体"/>
                <w:sz w:val="24"/>
                <w:szCs w:val="24"/>
                <w:lang w:val="en-US" w:eastAsia="zh-CN"/>
              </w:rPr>
            </w:pPr>
          </w:p>
        </w:tc>
      </w:tr>
      <w:tr w14:paraId="3A7D1A8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6E582">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15</w:t>
            </w:r>
          </w:p>
        </w:tc>
        <w:tc>
          <w:tcPr>
            <w:tcW w:w="6240" w:type="dxa"/>
            <w:tcBorders>
              <w:top w:val="single" w:color="auto" w:sz="4" w:space="0"/>
              <w:left w:val="single" w:color="auto" w:sz="4" w:space="0"/>
              <w:bottom w:val="single" w:color="auto" w:sz="4" w:space="0"/>
              <w:right w:val="single" w:color="auto" w:sz="4" w:space="0"/>
            </w:tcBorders>
            <w:vAlign w:val="center"/>
          </w:tcPr>
          <w:p w14:paraId="01336864">
            <w:pPr>
              <w:rPr>
                <w:rFonts w:hint="eastAsia"/>
                <w:sz w:val="24"/>
                <w:szCs w:val="24"/>
              </w:rPr>
            </w:pPr>
            <w:r>
              <w:rPr>
                <w:rFonts w:hint="eastAsia"/>
                <w:sz w:val="24"/>
                <w:szCs w:val="24"/>
              </w:rPr>
              <w:t>焊接工艺：进口机器人焊机焊接、熔深大、焊丝熔化率高，焊缝平整、牢固结实。焊接、防锈处理无肓点、表面无锋棱、毛刺，整床加强、加固处理确保安全可靠。</w:t>
            </w:r>
          </w:p>
        </w:tc>
        <w:tc>
          <w:tcPr>
            <w:tcW w:w="990" w:type="dxa"/>
            <w:tcBorders>
              <w:top w:val="single" w:color="auto" w:sz="4" w:space="0"/>
              <w:left w:val="single" w:color="auto" w:sz="4" w:space="0"/>
              <w:bottom w:val="single" w:color="auto" w:sz="4" w:space="0"/>
              <w:right w:val="single" w:color="auto" w:sz="4" w:space="0"/>
            </w:tcBorders>
            <w:vAlign w:val="top"/>
          </w:tcPr>
          <w:p w14:paraId="0323CA2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DDE9FFC">
            <w:pPr>
              <w:spacing w:line="360" w:lineRule="auto"/>
              <w:rPr>
                <w:rFonts w:hint="eastAsia" w:ascii="宋体" w:hAnsi="宋体" w:eastAsia="宋体" w:cs="宋体"/>
                <w:sz w:val="24"/>
                <w:szCs w:val="24"/>
                <w:lang w:val="en-US" w:eastAsia="zh-CN"/>
              </w:rPr>
            </w:pPr>
          </w:p>
        </w:tc>
      </w:tr>
      <w:tr w14:paraId="7D2981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79A3422">
            <w:pPr>
              <w:spacing w:line="360" w:lineRule="auto"/>
              <w:rPr>
                <w:rFonts w:hint="eastAsia"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1C853624">
            <w:pPr>
              <w:spacing w:line="360" w:lineRule="auto"/>
              <w:rPr>
                <w:rFonts w:hint="default" w:ascii="宋体" w:hAnsi="宋体" w:eastAsia="宋体" w:cs="宋体"/>
                <w:sz w:val="24"/>
                <w:szCs w:val="24"/>
                <w:lang w:val="en-US" w:eastAsia="zh-CN"/>
              </w:rPr>
            </w:pPr>
            <w:r>
              <w:rPr>
                <w:rFonts w:hint="eastAsia"/>
                <w:sz w:val="24"/>
                <w:szCs w:val="24"/>
              </w:rPr>
              <w:t>功能位置调节</w:t>
            </w:r>
          </w:p>
        </w:tc>
        <w:tc>
          <w:tcPr>
            <w:tcW w:w="990" w:type="dxa"/>
            <w:tcBorders>
              <w:top w:val="single" w:color="auto" w:sz="4" w:space="0"/>
              <w:left w:val="single" w:color="auto" w:sz="4" w:space="0"/>
              <w:bottom w:val="single" w:color="auto" w:sz="4" w:space="0"/>
              <w:right w:val="single" w:color="auto" w:sz="4" w:space="0"/>
            </w:tcBorders>
            <w:vAlign w:val="top"/>
          </w:tcPr>
          <w:p w14:paraId="0B2CA4D2">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FC41EC4">
            <w:pPr>
              <w:spacing w:line="360" w:lineRule="auto"/>
              <w:rPr>
                <w:rFonts w:hint="eastAsia" w:ascii="宋体" w:hAnsi="宋体" w:eastAsia="宋体" w:cs="宋体"/>
                <w:sz w:val="24"/>
                <w:szCs w:val="24"/>
                <w:lang w:val="en-US" w:eastAsia="zh-CN"/>
              </w:rPr>
            </w:pPr>
          </w:p>
        </w:tc>
      </w:tr>
      <w:tr w14:paraId="466CA6F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FC894B4">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57B97D3D">
            <w:pPr>
              <w:spacing w:line="360" w:lineRule="auto"/>
              <w:ind w:firstLine="60"/>
              <w:rPr>
                <w:rFonts w:hint="default" w:ascii="宋体" w:hAnsi="宋体" w:eastAsia="宋体" w:cs="宋体"/>
                <w:sz w:val="24"/>
                <w:szCs w:val="24"/>
                <w:lang w:val="en-US" w:eastAsia="zh-CN"/>
              </w:rPr>
            </w:pPr>
            <w:r>
              <w:rPr>
                <w:rFonts w:hint="eastAsia"/>
                <w:sz w:val="24"/>
                <w:szCs w:val="24"/>
              </w:rPr>
              <w:t>背板0-75度，整体升降：0-33cm</w:t>
            </w:r>
          </w:p>
        </w:tc>
        <w:tc>
          <w:tcPr>
            <w:tcW w:w="990" w:type="dxa"/>
            <w:tcBorders>
              <w:top w:val="single" w:color="auto" w:sz="4" w:space="0"/>
              <w:left w:val="single" w:color="auto" w:sz="4" w:space="0"/>
              <w:bottom w:val="single" w:color="auto" w:sz="4" w:space="0"/>
              <w:right w:val="single" w:color="auto" w:sz="4" w:space="0"/>
            </w:tcBorders>
            <w:vAlign w:val="top"/>
          </w:tcPr>
          <w:p w14:paraId="7ECE226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5C4A1FE">
            <w:pPr>
              <w:spacing w:line="360" w:lineRule="auto"/>
              <w:rPr>
                <w:rFonts w:hint="eastAsia" w:ascii="宋体" w:hAnsi="宋体" w:eastAsia="宋体" w:cs="宋体"/>
                <w:sz w:val="24"/>
                <w:szCs w:val="24"/>
                <w:lang w:val="en-US" w:eastAsia="zh-CN"/>
              </w:rPr>
            </w:pPr>
          </w:p>
        </w:tc>
      </w:tr>
      <w:tr w14:paraId="747547C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9029E7B">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323082">
            <w:pPr>
              <w:spacing w:line="360" w:lineRule="auto"/>
              <w:ind w:left="20" w:right="620"/>
              <w:rPr>
                <w:rFonts w:hint="default" w:ascii="宋体" w:hAnsi="宋体" w:eastAsia="宋体" w:cs="宋体"/>
                <w:sz w:val="24"/>
                <w:szCs w:val="24"/>
                <w:lang w:val="en-US" w:eastAsia="zh-CN"/>
              </w:rPr>
            </w:pPr>
            <w:r>
              <w:rPr>
                <w:rFonts w:hint="eastAsia"/>
                <w:sz w:val="24"/>
                <w:szCs w:val="24"/>
              </w:rPr>
              <w:t>床体可承受载重25</w:t>
            </w:r>
            <w:r>
              <w:rPr>
                <w:rFonts w:hint="eastAsia"/>
                <w:sz w:val="24"/>
                <w:szCs w:val="24"/>
                <w:lang w:val="en-US" w:eastAsia="zh-CN"/>
              </w:rPr>
              <w:t>0KG</w:t>
            </w:r>
            <w:r>
              <w:rPr>
                <w:rFonts w:hint="eastAsia"/>
                <w:sz w:val="24"/>
                <w:szCs w:val="24"/>
              </w:rPr>
              <w:t>；床体总重量≥ 120KG</w:t>
            </w:r>
          </w:p>
        </w:tc>
        <w:tc>
          <w:tcPr>
            <w:tcW w:w="990" w:type="dxa"/>
            <w:tcBorders>
              <w:top w:val="single" w:color="auto" w:sz="4" w:space="0"/>
              <w:left w:val="single" w:color="auto" w:sz="4" w:space="0"/>
              <w:bottom w:val="single" w:color="auto" w:sz="4" w:space="0"/>
              <w:right w:val="single" w:color="auto" w:sz="4" w:space="0"/>
            </w:tcBorders>
            <w:vAlign w:val="top"/>
          </w:tcPr>
          <w:p w14:paraId="20E673BC">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DDFD820">
            <w:pPr>
              <w:spacing w:line="360" w:lineRule="auto"/>
              <w:rPr>
                <w:rFonts w:hint="eastAsia" w:ascii="宋体" w:hAnsi="宋体" w:eastAsia="宋体" w:cs="宋体"/>
                <w:sz w:val="24"/>
                <w:szCs w:val="24"/>
                <w:lang w:val="en-US" w:eastAsia="zh-CN"/>
              </w:rPr>
            </w:pPr>
          </w:p>
        </w:tc>
      </w:tr>
      <w:tr w14:paraId="2404174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0F8D561">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4EA6283C">
            <w:pPr>
              <w:rPr>
                <w:rFonts w:hint="default" w:ascii="宋体" w:hAnsi="宋体" w:eastAsia="宋体" w:cs="宋体"/>
                <w:sz w:val="24"/>
                <w:szCs w:val="24"/>
                <w:lang w:val="en-US" w:eastAsia="zh-CN"/>
              </w:rPr>
            </w:pPr>
            <w:r>
              <w:rPr>
                <w:rFonts w:hint="eastAsia"/>
                <w:sz w:val="24"/>
                <w:szCs w:val="24"/>
              </w:rPr>
              <w:t>一脚式中控刹车系统</w:t>
            </w:r>
          </w:p>
        </w:tc>
        <w:tc>
          <w:tcPr>
            <w:tcW w:w="990" w:type="dxa"/>
            <w:tcBorders>
              <w:top w:val="single" w:color="auto" w:sz="4" w:space="0"/>
              <w:left w:val="single" w:color="auto" w:sz="4" w:space="0"/>
              <w:bottom w:val="single" w:color="auto" w:sz="4" w:space="0"/>
              <w:right w:val="single" w:color="auto" w:sz="4" w:space="0"/>
            </w:tcBorders>
            <w:vAlign w:val="top"/>
          </w:tcPr>
          <w:p w14:paraId="255A03F5">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0283D357">
            <w:pPr>
              <w:spacing w:line="360" w:lineRule="auto"/>
              <w:rPr>
                <w:rFonts w:hint="eastAsia" w:ascii="宋体" w:hAnsi="宋体" w:eastAsia="宋体" w:cs="宋体"/>
                <w:sz w:val="24"/>
                <w:szCs w:val="24"/>
                <w:lang w:val="en-US" w:eastAsia="zh-CN"/>
              </w:rPr>
            </w:pPr>
          </w:p>
        </w:tc>
      </w:tr>
      <w:tr w14:paraId="1BD5993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C429942">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6240" w:type="dxa"/>
            <w:tcBorders>
              <w:top w:val="single" w:color="auto" w:sz="4" w:space="0"/>
              <w:left w:val="single" w:color="auto" w:sz="4" w:space="0"/>
              <w:bottom w:val="single" w:color="auto" w:sz="4" w:space="0"/>
              <w:right w:val="single" w:color="auto" w:sz="4" w:space="0"/>
            </w:tcBorders>
            <w:vAlign w:val="center"/>
          </w:tcPr>
          <w:p w14:paraId="65428ED8">
            <w:pPr>
              <w:rPr>
                <w:rFonts w:hint="eastAsia"/>
                <w:sz w:val="24"/>
                <w:szCs w:val="24"/>
              </w:rPr>
            </w:pPr>
            <w:r>
              <w:rPr>
                <w:rFonts w:hint="eastAsia" w:ascii="宋体" w:hAnsi="宋体" w:eastAsia="宋体"/>
                <w:color w:val="000000"/>
                <w:sz w:val="24"/>
                <w:szCs w:val="24"/>
              </w:rPr>
              <w:t>床垫：尺寸和病床完全配套，厚度</w:t>
            </w:r>
            <w:r>
              <w:rPr>
                <w:rFonts w:hint="eastAsia" w:ascii="Calibri" w:hAnsi="Calibri" w:eastAsia="Calibri"/>
                <w:color w:val="000000"/>
                <w:sz w:val="24"/>
                <w:szCs w:val="24"/>
              </w:rPr>
              <w:t>100mm</w:t>
            </w:r>
            <w:r>
              <w:rPr>
                <w:rFonts w:hint="eastAsia" w:ascii="宋体" w:hAnsi="宋体" w:eastAsia="宋体"/>
                <w:color w:val="000000"/>
                <w:sz w:val="24"/>
                <w:szCs w:val="24"/>
              </w:rPr>
              <w:t>±</w:t>
            </w:r>
            <w:r>
              <w:rPr>
                <w:rFonts w:hint="eastAsia" w:ascii="Calibri" w:hAnsi="Calibri" w:eastAsia="Calibri"/>
                <w:color w:val="000000"/>
                <w:sz w:val="24"/>
                <w:szCs w:val="24"/>
              </w:rPr>
              <w:t>5mm</w:t>
            </w:r>
            <w:r>
              <w:rPr>
                <w:rFonts w:hint="eastAsia" w:ascii="宋体" w:hAnsi="宋体" w:eastAsia="宋体"/>
                <w:color w:val="000000"/>
                <w:sz w:val="24"/>
                <w:szCs w:val="24"/>
              </w:rPr>
              <w:t>。床套材质：防水、阻燃。（</w:t>
            </w:r>
            <w:r>
              <w:rPr>
                <w:rFonts w:hint="eastAsia" w:ascii="Calibri" w:hAnsi="Calibri" w:eastAsia="Calibri"/>
                <w:color w:val="000000"/>
                <w:sz w:val="24"/>
                <w:szCs w:val="24"/>
              </w:rPr>
              <w:t>PU</w:t>
            </w:r>
            <w:r>
              <w:rPr>
                <w:rFonts w:hint="eastAsia" w:ascii="宋体" w:hAnsi="宋体" w:eastAsia="宋体"/>
                <w:color w:val="000000"/>
                <w:sz w:val="24"/>
                <w:szCs w:val="24"/>
              </w:rPr>
              <w:t>材质）泡棉材质：抗菌、阻燃高密度泡棉（聚氨酯</w:t>
            </w:r>
            <w:r>
              <w:rPr>
                <w:rFonts w:hint="eastAsia" w:ascii="Calibri" w:hAnsi="Calibri" w:eastAsia="Calibri"/>
                <w:color w:val="000000"/>
                <w:sz w:val="24"/>
                <w:szCs w:val="24"/>
              </w:rPr>
              <w:t>PU</w:t>
            </w:r>
            <w:r>
              <w:rPr>
                <w:rFonts w:hint="eastAsia" w:ascii="宋体" w:hAnsi="宋体" w:eastAsia="宋体"/>
                <w:color w:val="000000"/>
                <w:sz w:val="24"/>
                <w:szCs w:val="24"/>
              </w:rPr>
              <w:t>材质）</w:t>
            </w:r>
          </w:p>
        </w:tc>
        <w:tc>
          <w:tcPr>
            <w:tcW w:w="990" w:type="dxa"/>
            <w:tcBorders>
              <w:top w:val="single" w:color="auto" w:sz="4" w:space="0"/>
              <w:left w:val="single" w:color="auto" w:sz="4" w:space="0"/>
              <w:bottom w:val="single" w:color="auto" w:sz="4" w:space="0"/>
              <w:right w:val="single" w:color="auto" w:sz="4" w:space="0"/>
            </w:tcBorders>
            <w:vAlign w:val="top"/>
          </w:tcPr>
          <w:p w14:paraId="527BFC51">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B1C8B54">
            <w:pPr>
              <w:spacing w:line="360" w:lineRule="auto"/>
              <w:rPr>
                <w:rFonts w:hint="eastAsia" w:ascii="宋体" w:hAnsi="宋体" w:eastAsia="宋体" w:cs="宋体"/>
                <w:sz w:val="24"/>
                <w:szCs w:val="24"/>
                <w:lang w:val="en-US" w:eastAsia="zh-CN"/>
              </w:rPr>
            </w:pPr>
          </w:p>
        </w:tc>
      </w:tr>
      <w:tr w14:paraId="07CE40F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37CAB29">
            <w:pPr>
              <w:spacing w:line="360" w:lineRule="auto"/>
              <w:rPr>
                <w:rFonts w:hint="default" w:ascii="宋体" w:hAnsi="宋体" w:eastAsia="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1E316B9C">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配置清单</w:t>
            </w:r>
          </w:p>
        </w:tc>
        <w:tc>
          <w:tcPr>
            <w:tcW w:w="990" w:type="dxa"/>
            <w:tcBorders>
              <w:top w:val="single" w:color="auto" w:sz="4" w:space="0"/>
              <w:left w:val="single" w:color="auto" w:sz="4" w:space="0"/>
              <w:bottom w:val="single" w:color="auto" w:sz="4" w:space="0"/>
              <w:right w:val="single" w:color="auto" w:sz="4" w:space="0"/>
            </w:tcBorders>
            <w:vAlign w:val="top"/>
          </w:tcPr>
          <w:p w14:paraId="25F1090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BB03332">
            <w:pPr>
              <w:spacing w:line="360" w:lineRule="auto"/>
              <w:rPr>
                <w:rFonts w:hint="eastAsia" w:ascii="宋体" w:hAnsi="宋体" w:eastAsia="宋体" w:cs="宋体"/>
                <w:sz w:val="24"/>
                <w:szCs w:val="24"/>
                <w:lang w:val="en-US" w:eastAsia="zh-CN"/>
              </w:rPr>
            </w:pPr>
          </w:p>
        </w:tc>
      </w:tr>
      <w:tr w14:paraId="2E4FAAF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82BBCB0">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71B822F0">
            <w:pPr>
              <w:spacing w:line="360" w:lineRule="auto"/>
              <w:rPr>
                <w:rFonts w:hint="default" w:ascii="宋体" w:hAnsi="宋体" w:eastAsia="宋体" w:cs="宋体"/>
                <w:sz w:val="24"/>
                <w:szCs w:val="24"/>
                <w:lang w:val="en-US" w:eastAsia="zh-CN"/>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病床</w:t>
            </w:r>
            <w:r>
              <w:rPr>
                <w:rFonts w:hint="eastAsia" w:ascii="宋体" w:hAnsi="宋体" w:eastAsia="宋体"/>
                <w:color w:val="000000"/>
                <w:sz w:val="24"/>
                <w:szCs w:val="24"/>
                <w:lang w:val="en-US" w:eastAsia="zh-CN"/>
              </w:rPr>
              <w:t>1张</w:t>
            </w:r>
          </w:p>
        </w:tc>
        <w:tc>
          <w:tcPr>
            <w:tcW w:w="990" w:type="dxa"/>
            <w:tcBorders>
              <w:top w:val="single" w:color="auto" w:sz="4" w:space="0"/>
              <w:left w:val="single" w:color="auto" w:sz="4" w:space="0"/>
              <w:bottom w:val="single" w:color="auto" w:sz="4" w:space="0"/>
              <w:right w:val="single" w:color="auto" w:sz="4" w:space="0"/>
            </w:tcBorders>
            <w:vAlign w:val="top"/>
          </w:tcPr>
          <w:p w14:paraId="0E8D1CC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9FCECD3">
            <w:pPr>
              <w:spacing w:line="360" w:lineRule="auto"/>
              <w:rPr>
                <w:rFonts w:hint="eastAsia" w:ascii="宋体" w:hAnsi="宋体" w:eastAsia="宋体" w:cs="宋体"/>
                <w:sz w:val="24"/>
                <w:szCs w:val="24"/>
                <w:lang w:val="en-US" w:eastAsia="zh-CN"/>
              </w:rPr>
            </w:pPr>
          </w:p>
        </w:tc>
      </w:tr>
      <w:tr w14:paraId="0CC44B0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8322193">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1C9850FE">
            <w:pPr>
              <w:spacing w:line="360" w:lineRule="auto"/>
              <w:rPr>
                <w:rFonts w:hint="default" w:ascii="宋体" w:hAnsi="宋体" w:eastAsia="宋体" w:cs="宋体"/>
                <w:sz w:val="24"/>
                <w:szCs w:val="24"/>
                <w:lang w:val="en-US" w:eastAsia="zh-CN"/>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床垫</w:t>
            </w:r>
            <w:r>
              <w:rPr>
                <w:rFonts w:hint="eastAsia" w:ascii="宋体" w:hAnsi="宋体" w:eastAsia="宋体"/>
                <w:color w:val="000000"/>
                <w:sz w:val="24"/>
                <w:szCs w:val="24"/>
                <w:lang w:val="en-US" w:eastAsia="zh-CN"/>
              </w:rPr>
              <w:t>1个</w:t>
            </w:r>
          </w:p>
        </w:tc>
        <w:tc>
          <w:tcPr>
            <w:tcW w:w="990" w:type="dxa"/>
            <w:tcBorders>
              <w:top w:val="single" w:color="auto" w:sz="4" w:space="0"/>
              <w:left w:val="single" w:color="auto" w:sz="4" w:space="0"/>
              <w:bottom w:val="single" w:color="auto" w:sz="4" w:space="0"/>
              <w:right w:val="single" w:color="auto" w:sz="4" w:space="0"/>
            </w:tcBorders>
            <w:vAlign w:val="top"/>
          </w:tcPr>
          <w:p w14:paraId="6361D46C">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3D734B0">
            <w:pPr>
              <w:spacing w:line="360" w:lineRule="auto"/>
              <w:rPr>
                <w:rFonts w:hint="eastAsia" w:ascii="宋体" w:hAnsi="宋体" w:eastAsia="宋体" w:cs="宋体"/>
                <w:sz w:val="24"/>
                <w:szCs w:val="24"/>
                <w:lang w:val="en-US" w:eastAsia="zh-CN"/>
              </w:rPr>
            </w:pPr>
          </w:p>
        </w:tc>
      </w:tr>
      <w:tr w14:paraId="040CE23E">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D508413">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6367EE8B">
            <w:pPr>
              <w:spacing w:line="360" w:lineRule="auto"/>
              <w:rPr>
                <w:rFonts w:hint="default" w:ascii="宋体" w:hAnsi="宋体" w:eastAsia="宋体" w:cs="宋体"/>
                <w:sz w:val="24"/>
                <w:szCs w:val="24"/>
                <w:lang w:val="en-US" w:eastAsia="zh-CN"/>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二节伸缩式输液架</w:t>
            </w:r>
            <w:r>
              <w:rPr>
                <w:rFonts w:hint="eastAsia" w:ascii="宋体" w:hAnsi="宋体" w:eastAsia="宋体"/>
                <w:color w:val="000000"/>
                <w:sz w:val="24"/>
                <w:szCs w:val="24"/>
                <w:lang w:val="en-US" w:eastAsia="zh-CN"/>
              </w:rPr>
              <w:t>2根</w:t>
            </w:r>
          </w:p>
        </w:tc>
        <w:tc>
          <w:tcPr>
            <w:tcW w:w="990" w:type="dxa"/>
            <w:tcBorders>
              <w:top w:val="single" w:color="auto" w:sz="4" w:space="0"/>
              <w:left w:val="single" w:color="auto" w:sz="4" w:space="0"/>
              <w:bottom w:val="single" w:color="auto" w:sz="4" w:space="0"/>
              <w:right w:val="single" w:color="auto" w:sz="4" w:space="0"/>
            </w:tcBorders>
            <w:vAlign w:val="top"/>
          </w:tcPr>
          <w:p w14:paraId="032AF5D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4F6AD50">
            <w:pPr>
              <w:spacing w:line="360" w:lineRule="auto"/>
              <w:rPr>
                <w:rFonts w:hint="eastAsia" w:ascii="宋体" w:hAnsi="宋体" w:eastAsia="宋体" w:cs="宋体"/>
                <w:sz w:val="24"/>
                <w:szCs w:val="24"/>
                <w:lang w:val="en-US" w:eastAsia="zh-CN"/>
              </w:rPr>
            </w:pPr>
          </w:p>
        </w:tc>
      </w:tr>
      <w:tr w14:paraId="1D6517E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shd w:val="clear"/>
            <w:vAlign w:val="top"/>
          </w:tcPr>
          <w:p w14:paraId="3FB0F993">
            <w:pPr>
              <w:spacing w:line="360" w:lineRule="auto"/>
              <w:jc w:val="both"/>
              <w:rPr>
                <w:rFonts w:hint="eastAsia" w:eastAsia="宋体" w:cs="Times New Roman" w:asciiTheme="minorEastAsia" w:hAnsiTheme="minorEastAsia"/>
                <w:color w:val="000000"/>
                <w:kern w:val="2"/>
                <w:sz w:val="24"/>
                <w:szCs w:val="24"/>
                <w:lang w:val="en-US" w:eastAsia="zh-CN" w:bidi="ar-SA"/>
              </w:rPr>
            </w:pPr>
            <w:r>
              <w:rPr>
                <w:rFonts w:hint="eastAsia" w:asciiTheme="minorEastAsia" w:hAnsiTheme="minorEastAsia"/>
                <w:color w:val="000000"/>
                <w:sz w:val="24"/>
                <w:szCs w:val="24"/>
              </w:rPr>
              <w:t>4</w:t>
            </w:r>
          </w:p>
        </w:tc>
        <w:tc>
          <w:tcPr>
            <w:tcW w:w="6240" w:type="dxa"/>
            <w:tcBorders>
              <w:top w:val="single" w:color="auto" w:sz="4" w:space="0"/>
              <w:left w:val="single" w:color="auto" w:sz="4" w:space="0"/>
              <w:bottom w:val="single" w:color="auto" w:sz="4" w:space="0"/>
              <w:right w:val="single" w:color="auto" w:sz="4" w:space="0"/>
            </w:tcBorders>
            <w:shd w:val="clear"/>
            <w:vAlign w:val="top"/>
          </w:tcPr>
          <w:p w14:paraId="15EBF5F0">
            <w:pPr>
              <w:spacing w:line="360" w:lineRule="auto"/>
              <w:jc w:val="both"/>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每辆交接转运车</w:t>
            </w:r>
            <w:r>
              <w:rPr>
                <w:rFonts w:hint="eastAsia" w:ascii="宋体" w:hAnsi="宋体" w:eastAsia="宋体"/>
                <w:color w:val="000000"/>
                <w:sz w:val="24"/>
                <w:szCs w:val="24"/>
                <w:lang w:val="en-US" w:eastAsia="zh-CN"/>
              </w:rPr>
              <w:t>配置</w:t>
            </w:r>
            <w:r>
              <w:rPr>
                <w:rFonts w:hint="eastAsia" w:ascii="宋体" w:hAnsi="宋体" w:eastAsia="宋体"/>
                <w:color w:val="000000"/>
                <w:sz w:val="24"/>
                <w:szCs w:val="24"/>
              </w:rPr>
              <w:t>床头柜</w:t>
            </w:r>
            <w:r>
              <w:rPr>
                <w:rFonts w:hint="eastAsia" w:asciiTheme="minorEastAsia" w:hAnsiTheme="minorEastAsia"/>
                <w:color w:val="000000"/>
                <w:sz w:val="24"/>
                <w:szCs w:val="24"/>
              </w:rPr>
              <w:t>1个</w:t>
            </w:r>
          </w:p>
        </w:tc>
        <w:tc>
          <w:tcPr>
            <w:tcW w:w="990" w:type="dxa"/>
            <w:tcBorders>
              <w:top w:val="single" w:color="auto" w:sz="4" w:space="0"/>
              <w:left w:val="single" w:color="auto" w:sz="4" w:space="0"/>
              <w:bottom w:val="single" w:color="auto" w:sz="4" w:space="0"/>
              <w:right w:val="single" w:color="auto" w:sz="4" w:space="0"/>
            </w:tcBorders>
            <w:shd w:val="clear"/>
            <w:vAlign w:val="top"/>
          </w:tcPr>
          <w:p w14:paraId="0AA0E0C3">
            <w:pPr>
              <w:spacing w:line="360" w:lineRule="auto"/>
              <w:jc w:val="center"/>
              <w:rPr>
                <w:rFonts w:hint="eastAsia" w:eastAsia="宋体" w:cs="Times New Roman" w:asciiTheme="minorEastAsia" w:hAnsiTheme="minorEastAsia"/>
                <w:color w:val="000000"/>
                <w:kern w:val="2"/>
                <w:sz w:val="24"/>
                <w:szCs w:val="24"/>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E93B62C">
            <w:pPr>
              <w:spacing w:line="360" w:lineRule="auto"/>
              <w:rPr>
                <w:rFonts w:hint="eastAsia" w:ascii="宋体" w:hAnsi="宋体" w:eastAsia="宋体" w:cs="宋体"/>
                <w:sz w:val="24"/>
                <w:szCs w:val="24"/>
                <w:lang w:val="en-US" w:eastAsia="zh-CN"/>
              </w:rPr>
            </w:pPr>
          </w:p>
        </w:tc>
      </w:tr>
      <w:tr w14:paraId="135ACD2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1FC983B">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6240" w:type="dxa"/>
            <w:tcBorders>
              <w:top w:val="single" w:color="auto" w:sz="4" w:space="0"/>
              <w:left w:val="single" w:color="auto" w:sz="4" w:space="0"/>
              <w:bottom w:val="single" w:color="auto" w:sz="4" w:space="0"/>
              <w:right w:val="single" w:color="auto" w:sz="4" w:space="0"/>
            </w:tcBorders>
            <w:vAlign w:val="center"/>
          </w:tcPr>
          <w:p w14:paraId="1E11CAA8">
            <w:pPr>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每辆交接转运车配置5条约束带</w:t>
            </w:r>
          </w:p>
        </w:tc>
        <w:tc>
          <w:tcPr>
            <w:tcW w:w="990" w:type="dxa"/>
            <w:tcBorders>
              <w:top w:val="single" w:color="auto" w:sz="4" w:space="0"/>
              <w:left w:val="single" w:color="auto" w:sz="4" w:space="0"/>
              <w:bottom w:val="single" w:color="auto" w:sz="4" w:space="0"/>
              <w:right w:val="single" w:color="auto" w:sz="4" w:space="0"/>
            </w:tcBorders>
            <w:vAlign w:val="top"/>
          </w:tcPr>
          <w:p w14:paraId="62EBB8F2">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C8FAE44">
            <w:pPr>
              <w:spacing w:line="360" w:lineRule="auto"/>
              <w:rPr>
                <w:rFonts w:hint="eastAsia" w:ascii="宋体" w:hAnsi="宋体" w:eastAsia="宋体" w:cs="宋体"/>
                <w:sz w:val="24"/>
                <w:szCs w:val="24"/>
                <w:lang w:val="en-US" w:eastAsia="zh-CN"/>
              </w:rPr>
            </w:pPr>
          </w:p>
        </w:tc>
      </w:tr>
      <w:tr w14:paraId="370306D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6EE8272">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6240" w:type="dxa"/>
            <w:tcBorders>
              <w:top w:val="single" w:color="auto" w:sz="4" w:space="0"/>
              <w:left w:val="single" w:color="auto" w:sz="4" w:space="0"/>
              <w:bottom w:val="single" w:color="auto" w:sz="4" w:space="0"/>
              <w:right w:val="single" w:color="auto" w:sz="4" w:space="0"/>
            </w:tcBorders>
            <w:vAlign w:val="center"/>
          </w:tcPr>
          <w:p w14:paraId="4410944C">
            <w:pPr>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每辆交接转运车配置一次性粘尘垫300张</w:t>
            </w:r>
          </w:p>
        </w:tc>
        <w:tc>
          <w:tcPr>
            <w:tcW w:w="990" w:type="dxa"/>
            <w:tcBorders>
              <w:top w:val="single" w:color="auto" w:sz="4" w:space="0"/>
              <w:left w:val="single" w:color="auto" w:sz="4" w:space="0"/>
              <w:bottom w:val="single" w:color="auto" w:sz="4" w:space="0"/>
              <w:right w:val="single" w:color="auto" w:sz="4" w:space="0"/>
            </w:tcBorders>
            <w:vAlign w:val="top"/>
          </w:tcPr>
          <w:p w14:paraId="61E262C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74A7EAC">
            <w:pPr>
              <w:spacing w:line="360" w:lineRule="auto"/>
              <w:rPr>
                <w:rFonts w:hint="eastAsia" w:ascii="宋体" w:hAnsi="宋体" w:eastAsia="宋体" w:cs="宋体"/>
                <w:sz w:val="24"/>
                <w:szCs w:val="24"/>
                <w:lang w:val="en-US" w:eastAsia="zh-CN"/>
              </w:rPr>
            </w:pPr>
          </w:p>
        </w:tc>
      </w:tr>
      <w:tr w14:paraId="7A78E6D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49D152D">
            <w:pPr>
              <w:spacing w:line="360" w:lineRule="auto"/>
              <w:rPr>
                <w:rFonts w:hint="eastAsia" w:ascii="宋体" w:hAnsi="宋体" w:cs="宋体"/>
                <w:sz w:val="24"/>
                <w:szCs w:val="24"/>
                <w:lang w:val="en-US" w:eastAsia="zh-CN"/>
              </w:rPr>
            </w:pPr>
          </w:p>
        </w:tc>
        <w:tc>
          <w:tcPr>
            <w:tcW w:w="6240" w:type="dxa"/>
            <w:tcBorders>
              <w:top w:val="single" w:color="auto" w:sz="4" w:space="0"/>
              <w:left w:val="single" w:color="auto" w:sz="4" w:space="0"/>
              <w:bottom w:val="single" w:color="auto" w:sz="4" w:space="0"/>
              <w:right w:val="single" w:color="auto" w:sz="4" w:space="0"/>
            </w:tcBorders>
            <w:vAlign w:val="center"/>
          </w:tcPr>
          <w:p w14:paraId="7C2E8816">
            <w:pPr>
              <w:rPr>
                <w:sz w:val="24"/>
                <w:szCs w:val="24"/>
              </w:rPr>
            </w:pPr>
            <w:r>
              <w:rPr>
                <w:rFonts w:hint="eastAsia"/>
                <w:sz w:val="24"/>
                <w:szCs w:val="24"/>
              </w:rPr>
              <w:t>床头柜要求：塑钢一体；整体ABS材质，三层抽屉，配优质静音滑轨</w:t>
            </w:r>
          </w:p>
          <w:p w14:paraId="5546C8AA">
            <w:pPr>
              <w:rPr>
                <w:rFonts w:hint="eastAsia" w:ascii="宋体" w:hAnsi="宋体"/>
                <w:color w:val="000000"/>
                <w:sz w:val="24"/>
                <w:szCs w:val="24"/>
                <w:lang w:val="en-US" w:eastAsia="zh-CN"/>
              </w:rPr>
            </w:pPr>
            <w:r>
              <w:rPr>
                <w:rFonts w:hint="eastAsia"/>
                <w:sz w:val="24"/>
                <w:szCs w:val="24"/>
              </w:rPr>
              <w:t>两张床配送一张一体推车(要求：尺寸</w:t>
            </w:r>
            <w:r>
              <w:rPr>
                <w:rFonts w:hint="eastAsia" w:asciiTheme="minorEastAsia" w:hAnsiTheme="minorEastAsia"/>
                <w:sz w:val="24"/>
                <w:szCs w:val="24"/>
              </w:rPr>
              <w:t>≥</w:t>
            </w:r>
            <w:r>
              <w:rPr>
                <w:rFonts w:hint="eastAsia"/>
                <w:sz w:val="24"/>
                <w:szCs w:val="24"/>
              </w:rPr>
              <w:t>90*48*91cm，两层，带刹车静音轮，车体是304不锈钢，厚度1.2mm)和一台运货手推车（要求：</w:t>
            </w:r>
            <w:r>
              <w:rPr>
                <w:rFonts w:hint="eastAsia" w:asciiTheme="minorEastAsia" w:hAnsiTheme="minorEastAsia"/>
                <w:sz w:val="24"/>
                <w:szCs w:val="24"/>
              </w:rPr>
              <w:t>≥</w:t>
            </w:r>
            <w:r>
              <w:rPr>
                <w:rFonts w:hint="eastAsia"/>
                <w:sz w:val="24"/>
                <w:szCs w:val="24"/>
              </w:rPr>
              <w:t>尺寸73*48cm,可折叠扶手，静音万象轮,承重</w:t>
            </w:r>
            <w:r>
              <w:rPr>
                <w:rFonts w:hint="eastAsia" w:asciiTheme="minorEastAsia" w:hAnsiTheme="minorEastAsia"/>
                <w:sz w:val="24"/>
                <w:szCs w:val="24"/>
              </w:rPr>
              <w:t>≥</w:t>
            </w:r>
            <w:r>
              <w:rPr>
                <w:rFonts w:hint="eastAsia"/>
                <w:sz w:val="24"/>
                <w:szCs w:val="24"/>
              </w:rPr>
              <w:t>200kg）</w:t>
            </w:r>
            <w:bookmarkStart w:id="0" w:name="_GoBack"/>
            <w:bookmarkEnd w:id="0"/>
          </w:p>
        </w:tc>
        <w:tc>
          <w:tcPr>
            <w:tcW w:w="990" w:type="dxa"/>
            <w:tcBorders>
              <w:top w:val="single" w:color="auto" w:sz="4" w:space="0"/>
              <w:left w:val="single" w:color="auto" w:sz="4" w:space="0"/>
              <w:bottom w:val="single" w:color="auto" w:sz="4" w:space="0"/>
              <w:right w:val="single" w:color="auto" w:sz="4" w:space="0"/>
            </w:tcBorders>
            <w:vAlign w:val="top"/>
          </w:tcPr>
          <w:p w14:paraId="789982D5">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C7149F0">
            <w:pPr>
              <w:spacing w:line="360" w:lineRule="auto"/>
              <w:rPr>
                <w:rFonts w:hint="eastAsia" w:ascii="宋体" w:hAnsi="宋体" w:eastAsia="宋体" w:cs="宋体"/>
                <w:sz w:val="24"/>
                <w:szCs w:val="24"/>
                <w:lang w:val="en-US" w:eastAsia="zh-CN"/>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240"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r>
              <w:rPr>
                <w:rFonts w:hint="eastAsia" w:ascii="宋体" w:hAnsi="宋体" w:cs="宋体"/>
                <w:b/>
                <w:bCs/>
                <w:color w:val="000000"/>
                <w:kern w:val="0"/>
                <w:sz w:val="24"/>
                <w:szCs w:val="24"/>
                <w:lang w:val="en-US" w:eastAsia="zh-CN" w:bidi="ar"/>
              </w:rPr>
              <w:t>交接转运车</w:t>
            </w:r>
          </w:p>
        </w:tc>
        <w:tc>
          <w:tcPr>
            <w:tcW w:w="990" w:type="dxa"/>
            <w:tcBorders>
              <w:top w:val="single" w:color="auto" w:sz="4" w:space="0"/>
              <w:left w:val="single" w:color="auto" w:sz="4" w:space="0"/>
              <w:bottom w:val="single" w:color="auto" w:sz="4" w:space="0"/>
              <w:right w:val="single" w:color="auto" w:sz="4" w:space="0"/>
            </w:tcBorders>
            <w:vAlign w:val="top"/>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top"/>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988" w:hRule="atLeast"/>
        </w:trPr>
        <w:tc>
          <w:tcPr>
            <w:tcW w:w="1221"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pPr>
            <w:r>
              <w:rPr>
                <w:rFonts w:hint="eastAsia" w:ascii="宋体" w:hAnsi="宋体" w:eastAsia="宋体" w:cs="宋体"/>
                <w:sz w:val="24"/>
                <w:szCs w:val="24"/>
                <w:lang w:val="en-US" w:eastAsia="zh-CN"/>
              </w:rPr>
              <w:t>自验收合格之日起，中选供应商提供产品免费质保服务至少三年。</w:t>
            </w:r>
          </w:p>
        </w:tc>
        <w:tc>
          <w:tcPr>
            <w:tcW w:w="990"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pPr>
            <w:r>
              <w:rPr>
                <w:rFonts w:hint="eastAsia" w:ascii="宋体" w:hAnsi="宋体" w:eastAsia="宋体" w:cs="宋体"/>
                <w:sz w:val="24"/>
                <w:szCs w:val="24"/>
                <w:lang w:val="en-US" w:eastAsia="zh-CN"/>
              </w:rPr>
              <w:t>产品必须在签订合同后10日内交货并安装调试完毕（有关一切费用由中选供应商承担）。</w:t>
            </w:r>
          </w:p>
        </w:tc>
        <w:tc>
          <w:tcPr>
            <w:tcW w:w="990"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990"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798DCEFB">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14:paraId="5124A553">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TBmNGEwN2E3MDFkOWM0MDVkMWY2NGI2ODRmM2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51978D3"/>
    <w:rsid w:val="054B3B83"/>
    <w:rsid w:val="055511AF"/>
    <w:rsid w:val="05551D4C"/>
    <w:rsid w:val="05CF5FA2"/>
    <w:rsid w:val="06977677"/>
    <w:rsid w:val="0854278F"/>
    <w:rsid w:val="08BF5E5A"/>
    <w:rsid w:val="08CB2A51"/>
    <w:rsid w:val="09775278"/>
    <w:rsid w:val="09CD45A7"/>
    <w:rsid w:val="0A124BEF"/>
    <w:rsid w:val="0A193C90"/>
    <w:rsid w:val="0B8425B2"/>
    <w:rsid w:val="0BAE560B"/>
    <w:rsid w:val="0C1D4B5C"/>
    <w:rsid w:val="0C8C63CD"/>
    <w:rsid w:val="0D2564A8"/>
    <w:rsid w:val="0DC21730"/>
    <w:rsid w:val="0E9E6512"/>
    <w:rsid w:val="0ED62150"/>
    <w:rsid w:val="0EEA5164"/>
    <w:rsid w:val="103E1D5B"/>
    <w:rsid w:val="10493E92"/>
    <w:rsid w:val="10722F10"/>
    <w:rsid w:val="10802373"/>
    <w:rsid w:val="10D4446D"/>
    <w:rsid w:val="1103064A"/>
    <w:rsid w:val="115F467E"/>
    <w:rsid w:val="12661A3D"/>
    <w:rsid w:val="1376180B"/>
    <w:rsid w:val="139265EA"/>
    <w:rsid w:val="147F6DE6"/>
    <w:rsid w:val="14BD1E65"/>
    <w:rsid w:val="15FA2BC8"/>
    <w:rsid w:val="15FB06EE"/>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1FB3F4F"/>
    <w:rsid w:val="225B2C40"/>
    <w:rsid w:val="22FD5AA5"/>
    <w:rsid w:val="239C6211"/>
    <w:rsid w:val="24233AFC"/>
    <w:rsid w:val="2423778D"/>
    <w:rsid w:val="2441528D"/>
    <w:rsid w:val="24457704"/>
    <w:rsid w:val="24AE3CD0"/>
    <w:rsid w:val="24B457FE"/>
    <w:rsid w:val="257C53A7"/>
    <w:rsid w:val="26FC7198"/>
    <w:rsid w:val="27027078"/>
    <w:rsid w:val="27766E72"/>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AD38C9"/>
    <w:rsid w:val="65F30067"/>
    <w:rsid w:val="660B3602"/>
    <w:rsid w:val="6703088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customStyle="1" w:styleId="7">
    <w:name w:val="apple-style-span"/>
    <w:autoRedefine/>
    <w:qFormat/>
    <w:uiPriority w:val="0"/>
  </w:style>
  <w:style w:type="paragraph" w:styleId="8">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1091</Words>
  <Characters>1161</Characters>
  <Lines>0</Lines>
  <Paragraphs>0</Paragraphs>
  <TotalTime>0</TotalTime>
  <ScaleCrop>false</ScaleCrop>
  <LinksUpToDate>false</LinksUpToDate>
  <CharactersWithSpaces>1162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QTURE</cp:lastModifiedBy>
  <cp:lastPrinted>2024-09-09T06:28:00Z</cp:lastPrinted>
  <dcterms:modified xsi:type="dcterms:W3CDTF">2025-02-18T00:38:19Z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8C9AC344045746E39FED25C28C78BF5C_13</vt:lpwstr>
  </property>
  <property fmtid="{D5CDD505-2E9C-101B-9397-08002B2CF9AE}" pid="4" name="KSOTemplateDocerSaveRecord">
    <vt:lpwstr>eyJoZGlkIjoiYzZiZTBmNGEwN2E3MDFkOWM0MDVkMWY2NGI2ODRmM2IiLCJ1c2VySWQiOiI1NjY5ODYxOTMifQ==</vt:lpwstr>
  </property>
</Properties>
</file>