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E96A0">
      <w:pPr>
        <w:widowControl/>
        <w:jc w:val="left"/>
        <w:rPr>
          <w:rFonts w:hint="eastAsia" w:ascii="宋体" w:hAnsi="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附件一：</w:t>
      </w:r>
    </w:p>
    <w:p w14:paraId="326D351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技术要求</w:t>
      </w:r>
    </w:p>
    <w:p w14:paraId="30D148C6">
      <w:pPr>
        <w:widowControl/>
        <w:jc w:val="center"/>
        <w:rPr>
          <w:rFonts w:hint="default" w:ascii="宋体" w:hAnsi="宋体" w:cs="宋体"/>
          <w:b/>
          <w:bCs/>
          <w:kern w:val="0"/>
          <w:sz w:val="24"/>
          <w:szCs w:val="24"/>
          <w:vertAlign w:val="baseline"/>
          <w:lang w:val="en-US" w:eastAsia="zh-CN"/>
        </w:rPr>
      </w:pPr>
    </w:p>
    <w:tbl>
      <w:tblPr>
        <w:tblStyle w:val="4"/>
        <w:tblpPr w:leftFromText="180" w:rightFromText="180" w:vertAnchor="text" w:tblpX="1" w:tblpY="1"/>
        <w:tblOverlap w:val="never"/>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4933"/>
        <w:gridCol w:w="1110"/>
        <w:gridCol w:w="1137"/>
      </w:tblGrid>
      <w:tr w14:paraId="2FC7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21" w:type="dxa"/>
            <w:vAlign w:val="center"/>
          </w:tcPr>
          <w:p w14:paraId="0A64B9DC">
            <w:pPr>
              <w:widowControl/>
              <w:jc w:val="center"/>
              <w:rPr>
                <w:rFonts w:hint="eastAsia" w:ascii="宋体" w:hAnsi="宋体" w:eastAsia="宋体" w:cs="宋体"/>
                <w:b/>
                <w:bCs/>
                <w:kern w:val="0"/>
                <w:sz w:val="24"/>
                <w:szCs w:val="24"/>
                <w:vertAlign w:val="baseline"/>
                <w:lang w:val="en-US" w:eastAsia="zh-CN"/>
              </w:rPr>
            </w:pPr>
          </w:p>
        </w:tc>
        <w:tc>
          <w:tcPr>
            <w:tcW w:w="4933" w:type="dxa"/>
            <w:vAlign w:val="center"/>
          </w:tcPr>
          <w:p w14:paraId="1A378C7E">
            <w:pPr>
              <w:widowControl/>
              <w:jc w:val="both"/>
              <w:rPr>
                <w:rFonts w:hint="eastAsia" w:ascii="宋体" w:hAnsi="宋体" w:cs="宋体"/>
                <w:b/>
                <w:bCs/>
                <w:kern w:val="0"/>
                <w:sz w:val="24"/>
                <w:szCs w:val="24"/>
                <w:vertAlign w:val="baseline"/>
                <w:lang w:val="en-US" w:eastAsia="zh-CN" w:bidi="ar-SA"/>
              </w:rPr>
            </w:pPr>
          </w:p>
        </w:tc>
        <w:tc>
          <w:tcPr>
            <w:tcW w:w="1110" w:type="dxa"/>
            <w:vAlign w:val="center"/>
          </w:tcPr>
          <w:p w14:paraId="31933DBD">
            <w:pPr>
              <w:widowControl/>
              <w:jc w:val="center"/>
              <w:rPr>
                <w:rFonts w:hint="default" w:ascii="宋体" w:hAnsi="宋体" w:cs="宋体"/>
                <w:b/>
                <w:bCs/>
                <w:kern w:val="0"/>
                <w:sz w:val="24"/>
                <w:szCs w:val="24"/>
                <w:vertAlign w:val="baseline"/>
                <w:lang w:val="en-US" w:eastAsia="zh-CN"/>
              </w:rPr>
            </w:pPr>
            <w:r>
              <w:rPr>
                <w:rFonts w:hint="eastAsia" w:ascii="宋体" w:hAnsi="宋体" w:cs="宋体"/>
                <w:b/>
                <w:bCs/>
                <w:kern w:val="0"/>
                <w:sz w:val="24"/>
                <w:szCs w:val="24"/>
                <w:vertAlign w:val="baseline"/>
                <w:lang w:val="en-US" w:eastAsia="zh-CN"/>
              </w:rPr>
              <w:t>响应</w:t>
            </w:r>
          </w:p>
        </w:tc>
        <w:tc>
          <w:tcPr>
            <w:tcW w:w="1137" w:type="dxa"/>
            <w:vAlign w:val="center"/>
          </w:tcPr>
          <w:p w14:paraId="1DCB759F">
            <w:pPr>
              <w:widowControl/>
              <w:jc w:val="center"/>
              <w:rPr>
                <w:rFonts w:hint="default" w:ascii="宋体" w:hAnsi="宋体" w:cs="宋体"/>
                <w:b/>
                <w:bCs/>
                <w:kern w:val="0"/>
                <w:sz w:val="24"/>
                <w:szCs w:val="24"/>
                <w:vertAlign w:val="baseline"/>
                <w:lang w:val="en-US" w:eastAsia="zh-CN"/>
              </w:rPr>
            </w:pPr>
            <w:r>
              <w:rPr>
                <w:rFonts w:hint="eastAsia" w:ascii="宋体" w:hAnsi="宋体" w:cs="宋体"/>
                <w:b/>
                <w:bCs/>
                <w:kern w:val="0"/>
                <w:sz w:val="24"/>
                <w:szCs w:val="24"/>
                <w:vertAlign w:val="baseline"/>
                <w:lang w:val="en-US" w:eastAsia="zh-CN"/>
              </w:rPr>
              <w:t>偏离</w:t>
            </w:r>
          </w:p>
        </w:tc>
      </w:tr>
      <w:tr w14:paraId="180F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top"/>
          </w:tcPr>
          <w:p w14:paraId="1029D6FE">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技术要求</w:t>
            </w:r>
          </w:p>
          <w:p w14:paraId="6A84B401">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lang w:val="en-US"/>
              </w:rPr>
            </w:pPr>
          </w:p>
        </w:tc>
        <w:tc>
          <w:tcPr>
            <w:tcW w:w="4933" w:type="dxa"/>
            <w:vAlign w:val="top"/>
          </w:tcPr>
          <w:p w14:paraId="36174F6D">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17项实测参数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pH,</w:t>
            </w:r>
            <w:r>
              <w:rPr>
                <w:rFonts w:hint="default" w:ascii="宋体" w:hAnsi="宋体" w:eastAsia="宋体" w:cs="宋体"/>
                <w:color w:val="FF0000"/>
                <w:sz w:val="24"/>
                <w:szCs w:val="24"/>
                <w:lang w:val="en-US" w:eastAsia="zh-CN"/>
              </w:rPr>
              <w:t xml:space="preserve"> </w:t>
            </w:r>
            <w:r>
              <w:rPr>
                <w:rFonts w:hint="default" w:ascii="宋体" w:hAnsi="宋体" w:eastAsia="宋体" w:cs="宋体"/>
                <w:sz w:val="24"/>
                <w:szCs w:val="24"/>
                <w:lang w:val="en-US" w:eastAsia="zh-CN"/>
              </w:rPr>
              <w:t>pCO2, pO2，cCa2+, cCl–, cK+, cNa+，cGlu, cLac，ctHb, sO2, FO2Hb, FMetHb, FCOHb, FHHb, FHbF, ctBil</w:t>
            </w:r>
          </w:p>
          <w:p w14:paraId="5D4F02DE">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计算参数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cBase(B)或 ABE，p50，ctO2(B)，DO2，阴离子间隙Ag等计算参数≥48项</w:t>
            </w:r>
          </w:p>
          <w:p w14:paraId="2ADE71BF">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方法学</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电位测定法、电流测定法、pO2 光学测量和分光光度法</w:t>
            </w:r>
          </w:p>
          <w:p w14:paraId="4C454984">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样本类型</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人体全血样本</w:t>
            </w:r>
          </w:p>
          <w:p w14:paraId="7465204F">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进样方式</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设备可直接连接样本进样，无需其他插件/连接件/适配器</w:t>
            </w:r>
          </w:p>
          <w:p w14:paraId="36C08DE0">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样本体积（全参数）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ab/>
            </w:r>
            <w:r>
              <w:rPr>
                <w:rFonts w:hint="default" w:ascii="宋体" w:hAnsi="宋体" w:eastAsia="宋体" w:cs="宋体"/>
                <w:sz w:val="24"/>
                <w:szCs w:val="24"/>
                <w:lang w:val="en-US" w:eastAsia="zh-CN"/>
              </w:rPr>
              <w:t>≤</w:t>
            </w:r>
            <w:r>
              <w:rPr>
                <w:rFonts w:hint="eastAsia" w:ascii="宋体" w:hAnsi="宋体" w:cs="宋体"/>
                <w:sz w:val="24"/>
                <w:szCs w:val="24"/>
                <w:lang w:val="en-US" w:eastAsia="zh-CN"/>
              </w:rPr>
              <w:t>100</w:t>
            </w:r>
            <w:r>
              <w:rPr>
                <w:rFonts w:hint="default" w:ascii="宋体" w:hAnsi="宋体" w:eastAsia="宋体" w:cs="宋体"/>
                <w:sz w:val="24"/>
                <w:szCs w:val="24"/>
                <w:lang w:val="en-US" w:eastAsia="zh-CN"/>
              </w:rPr>
              <w:t>µl</w:t>
            </w:r>
          </w:p>
          <w:p w14:paraId="413D32BA">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 xml:space="preserve">自动混匀功能 </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设备有血液样本混匀部件</w:t>
            </w:r>
          </w:p>
          <w:p w14:paraId="777000CD">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测试速度（全参数）</w:t>
            </w:r>
            <w:r>
              <w:rPr>
                <w:rFonts w:hint="eastAsia" w:ascii="宋体" w:hAnsi="宋体" w:eastAsia="宋体" w:cs="宋体"/>
                <w:sz w:val="24"/>
                <w:szCs w:val="24"/>
                <w:lang w:val="en-US" w:eastAsia="zh-CN"/>
              </w:rPr>
              <w:t>：</w:t>
            </w:r>
            <w:r>
              <w:rPr>
                <w:rFonts w:hint="default" w:ascii="宋体" w:hAnsi="宋体" w:eastAsia="宋体" w:cs="宋体"/>
                <w:color w:val="auto"/>
                <w:sz w:val="24"/>
                <w:szCs w:val="24"/>
                <w:lang w:val="en-US" w:eastAsia="zh-CN"/>
              </w:rPr>
              <w:t>测试速度≤</w:t>
            </w:r>
            <w:r>
              <w:rPr>
                <w:rFonts w:hint="eastAsia" w:ascii="宋体" w:hAnsi="宋体" w:cs="宋体"/>
                <w:color w:val="auto"/>
                <w:sz w:val="24"/>
                <w:szCs w:val="24"/>
                <w:lang w:val="en-US" w:eastAsia="zh-CN"/>
              </w:rPr>
              <w:t>90</w:t>
            </w:r>
            <w:r>
              <w:rPr>
                <w:rFonts w:hint="default" w:ascii="宋体" w:hAnsi="宋体" w:eastAsia="宋体" w:cs="宋体"/>
                <w:color w:val="auto"/>
                <w:sz w:val="24"/>
                <w:szCs w:val="24"/>
                <w:lang w:val="en-US" w:eastAsia="zh-CN"/>
              </w:rPr>
              <w:t>秒</w:t>
            </w:r>
            <w:r>
              <w:rPr>
                <w:rFonts w:hint="eastAsia" w:ascii="宋体" w:hAnsi="宋体" w:cs="宋体"/>
                <w:color w:val="auto"/>
                <w:sz w:val="24"/>
                <w:szCs w:val="24"/>
                <w:lang w:val="en-US" w:eastAsia="zh-CN"/>
              </w:rPr>
              <w:t>，</w:t>
            </w:r>
            <w:r>
              <w:rPr>
                <w:rFonts w:hint="default" w:ascii="宋体" w:hAnsi="宋体" w:eastAsia="宋体" w:cs="宋体"/>
                <w:sz w:val="24"/>
                <w:szCs w:val="24"/>
                <w:lang w:val="en-US" w:eastAsia="zh-CN"/>
              </w:rPr>
              <w:t>每小时≥</w:t>
            </w:r>
            <w:r>
              <w:rPr>
                <w:rFonts w:hint="eastAsia" w:ascii="宋体" w:hAnsi="宋体" w:cs="宋体"/>
                <w:sz w:val="24"/>
                <w:szCs w:val="24"/>
                <w:lang w:val="en-US" w:eastAsia="zh-CN"/>
              </w:rPr>
              <w:t>30</w:t>
            </w:r>
            <w:r>
              <w:rPr>
                <w:rFonts w:hint="default" w:ascii="宋体" w:hAnsi="宋体" w:eastAsia="宋体" w:cs="宋体"/>
                <w:sz w:val="24"/>
                <w:szCs w:val="24"/>
                <w:lang w:val="en-US" w:eastAsia="zh-CN"/>
              </w:rPr>
              <w:t>个样本</w:t>
            </w:r>
          </w:p>
          <w:p w14:paraId="64DEAF9D">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规格/测试数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带血氧及不带血氧测试卡，根据科室需要自由选择，多种测试规格</w:t>
            </w:r>
          </w:p>
          <w:p w14:paraId="2187EAB0">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耗材效期</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测试卡使用期限120天，测试卡上机效期30天；质控/定标液有效期6个月，上机效期30天</w:t>
            </w:r>
          </w:p>
          <w:p w14:paraId="6AB00E0E">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乳酸指示范围/可报告范围</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0-31mmol/L</w:t>
            </w:r>
          </w:p>
          <w:p w14:paraId="374CB1BC">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质控要求</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内置自动质控系统和至少3个水平质控品（质控品有注册证）</w:t>
            </w:r>
          </w:p>
          <w:p w14:paraId="46B92F72">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智能结果解读</w:t>
            </w:r>
            <w:r>
              <w:rPr>
                <w:rFonts w:hint="default" w:ascii="宋体" w:hAnsi="宋体" w:eastAsia="宋体" w:cs="宋体"/>
                <w:sz w:val="24"/>
                <w:szCs w:val="24"/>
                <w:lang w:val="en-US" w:eastAsia="zh-CN"/>
              </w:rPr>
              <w:tab/>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可配置血气结果解读软件</w:t>
            </w:r>
          </w:p>
          <w:p w14:paraId="70E97A1D">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数据存储</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患者检测结果：2000，活动日志：5000，定标日志：1000</w:t>
            </w:r>
          </w:p>
          <w:p w14:paraId="6F855C8C">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环境温度</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15-32°C</w:t>
            </w:r>
          </w:p>
          <w:p w14:paraId="4813CF1C">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相对湿度</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20-80 %</w:t>
            </w:r>
          </w:p>
          <w:p w14:paraId="0F40AC96">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主电源</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额定电压：100-240 V ±10 %；50/60 Hz。</w:t>
            </w:r>
          </w:p>
          <w:p w14:paraId="4A1F5D7C">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耗材类别与更换</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只需更换测试卡与试剂包，更换步骤简单，无须其它维护工作</w:t>
            </w:r>
          </w:p>
          <w:p w14:paraId="707C6F77">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网络连接能力</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有单向、双向连接外部Lis软件或网络的能力</w:t>
            </w:r>
          </w:p>
          <w:p w14:paraId="1123A0E6">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CFDA认证情况</w:t>
            </w:r>
            <w:r>
              <w:rPr>
                <w:rFonts w:hint="default" w:ascii="宋体" w:hAnsi="宋体" w:eastAsia="宋体" w:cs="宋体"/>
                <w:sz w:val="24"/>
                <w:szCs w:val="24"/>
                <w:lang w:val="en-US" w:eastAsia="zh-CN"/>
              </w:rPr>
              <w:tab/>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仪器、测试卡、质控/定标液都具有CFDA认证</w:t>
            </w:r>
            <w:r>
              <w:rPr>
                <w:rFonts w:hint="eastAsia" w:ascii="宋体" w:hAnsi="宋体" w:eastAsia="宋体" w:cs="宋体"/>
                <w:sz w:val="24"/>
                <w:szCs w:val="24"/>
                <w:lang w:val="en-US" w:eastAsia="zh-CN"/>
              </w:rPr>
              <w:t>。</w:t>
            </w:r>
          </w:p>
          <w:p w14:paraId="2AD85744">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Theme="minorEastAsia" w:cstheme="minorBidi"/>
                <w:b/>
                <w:bCs w:val="0"/>
                <w:color w:val="auto"/>
                <w:kern w:val="2"/>
                <w:sz w:val="24"/>
                <w:szCs w:val="24"/>
                <w:lang w:val="en-US" w:eastAsia="zh-CN" w:bidi="ar-SA"/>
              </w:rPr>
              <w:t>投标人须在响应文件中承诺设备中标后的配套耗材销售价格为全省最低价，且耗占比不超过30%，耗材实际采购价格以耗材议价结果为准。未承诺视为无效响应。</w:t>
            </w:r>
          </w:p>
        </w:tc>
        <w:tc>
          <w:tcPr>
            <w:tcW w:w="1110" w:type="dxa"/>
            <w:vAlign w:val="top"/>
          </w:tcPr>
          <w:p w14:paraId="433DCD9B">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Theme="minorEastAsia" w:cstheme="minorBidi"/>
                <w:b/>
                <w:bCs w:val="0"/>
                <w:color w:val="auto"/>
                <w:kern w:val="2"/>
                <w:sz w:val="24"/>
                <w:szCs w:val="24"/>
                <w:lang w:val="en-US" w:eastAsia="zh-CN" w:bidi="ar-SA"/>
              </w:rPr>
            </w:pPr>
          </w:p>
        </w:tc>
        <w:tc>
          <w:tcPr>
            <w:tcW w:w="1137" w:type="dxa"/>
            <w:vAlign w:val="top"/>
          </w:tcPr>
          <w:p w14:paraId="281EC29F">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Theme="minorEastAsia" w:cstheme="minorBidi"/>
                <w:b/>
                <w:bCs w:val="0"/>
                <w:color w:val="auto"/>
                <w:kern w:val="2"/>
                <w:sz w:val="24"/>
                <w:szCs w:val="24"/>
                <w:lang w:val="en-US" w:eastAsia="zh-CN" w:bidi="ar-SA"/>
              </w:rPr>
            </w:pPr>
            <w:bookmarkStart w:id="0" w:name="_GoBack"/>
            <w:bookmarkEnd w:id="0"/>
          </w:p>
        </w:tc>
      </w:tr>
      <w:tr w14:paraId="5436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top"/>
          </w:tcPr>
          <w:p w14:paraId="41DF8EB6">
            <w:pPr>
              <w:pStyle w:val="2"/>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商务要求</w:t>
            </w:r>
          </w:p>
        </w:tc>
        <w:tc>
          <w:tcPr>
            <w:tcW w:w="4933" w:type="dxa"/>
            <w:vAlign w:val="top"/>
          </w:tcPr>
          <w:p w14:paraId="2EBF5979">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自验</w:t>
            </w:r>
            <w:r>
              <w:rPr>
                <w:rFonts w:hint="eastAsia" w:ascii="宋体" w:hAnsi="宋体" w:cs="宋体"/>
                <w:color w:val="auto"/>
                <w:sz w:val="24"/>
                <w:szCs w:val="24"/>
                <w:lang w:val="en-US" w:eastAsia="zh-CN"/>
              </w:rPr>
              <w:t>收合格之日起，</w:t>
            </w:r>
            <w:r>
              <w:rPr>
                <w:rFonts w:hint="eastAsia" w:ascii="宋体" w:hAnsi="宋体" w:eastAsia="宋体" w:cs="宋体"/>
                <w:color w:val="auto"/>
                <w:sz w:val="24"/>
                <w:szCs w:val="24"/>
              </w:rPr>
              <w:t>中</w:t>
            </w:r>
            <w:r>
              <w:rPr>
                <w:rFonts w:hint="eastAsia" w:ascii="宋体" w:hAnsi="宋体" w:cs="宋体"/>
                <w:color w:val="auto"/>
                <w:sz w:val="24"/>
                <w:szCs w:val="24"/>
                <w:lang w:val="en-US" w:eastAsia="zh-CN"/>
              </w:rPr>
              <w:t>选</w:t>
            </w:r>
            <w:r>
              <w:rPr>
                <w:rFonts w:hint="eastAsia" w:ascii="宋体" w:hAnsi="宋体" w:eastAsia="宋体" w:cs="宋体"/>
                <w:color w:val="auto"/>
                <w:sz w:val="24"/>
                <w:szCs w:val="24"/>
              </w:rPr>
              <w:t>供应商</w:t>
            </w:r>
            <w:r>
              <w:rPr>
                <w:rFonts w:hint="eastAsia" w:ascii="宋体" w:hAnsi="宋体" w:cs="宋体"/>
                <w:color w:val="auto"/>
                <w:sz w:val="24"/>
                <w:szCs w:val="24"/>
                <w:lang w:eastAsia="zh-CN"/>
              </w:rPr>
              <w:t>提供</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整机免费保修服务</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年。</w:t>
            </w:r>
          </w:p>
          <w:p w14:paraId="598C325E">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2、产品</w:t>
            </w:r>
            <w:r>
              <w:rPr>
                <w:rFonts w:hint="eastAsia" w:ascii="宋体" w:hAnsi="宋体" w:eastAsia="宋体" w:cs="宋体"/>
                <w:color w:val="auto"/>
                <w:sz w:val="24"/>
                <w:szCs w:val="24"/>
              </w:rPr>
              <w:t>必须在签订合同后</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日内交货并安装调试完毕（有关运输和保险的一切费用由中</w:t>
            </w:r>
            <w:r>
              <w:rPr>
                <w:rFonts w:hint="eastAsia" w:ascii="宋体" w:hAnsi="宋体" w:cs="宋体"/>
                <w:color w:val="auto"/>
                <w:sz w:val="24"/>
                <w:szCs w:val="24"/>
                <w:lang w:val="en-US" w:eastAsia="zh-CN"/>
              </w:rPr>
              <w:t>选</w:t>
            </w:r>
            <w:r>
              <w:rPr>
                <w:rFonts w:hint="eastAsia" w:ascii="宋体" w:hAnsi="宋体" w:eastAsia="宋体" w:cs="宋体"/>
                <w:color w:val="auto"/>
                <w:sz w:val="24"/>
                <w:szCs w:val="24"/>
              </w:rPr>
              <w:t>供应商承担）。</w:t>
            </w:r>
          </w:p>
          <w:p w14:paraId="619EB04A">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cs="宋体"/>
                <w:color w:val="000000" w:themeColor="text1"/>
                <w:sz w:val="24"/>
                <w:szCs w:val="24"/>
                <w:lang w:val="en-US" w:eastAsia="zh-CN"/>
                <w14:textFill>
                  <w14:solidFill>
                    <w14:schemeClr w14:val="tx1"/>
                  </w14:solidFill>
                </w14:textFill>
              </w:rPr>
              <w:t>合</w:t>
            </w:r>
            <w:r>
              <w:rPr>
                <w:rFonts w:hint="eastAsia" w:ascii="宋体" w:hAnsi="宋体" w:eastAsia="宋体" w:cs="宋体"/>
                <w:color w:val="000000" w:themeColor="text1"/>
                <w:sz w:val="24"/>
                <w:szCs w:val="24"/>
                <w14:textFill>
                  <w14:solidFill>
                    <w14:schemeClr w14:val="tx1"/>
                  </w14:solidFill>
                </w14:textFill>
              </w:rPr>
              <w:t>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p w14:paraId="6B0230FE">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4、中标方负责产品整机终身免费质保，免费维修保养时间自验收合格之日起，维修响应时间&lt;15分钟，工程师到达现场&lt;120分钟，免费提供质控品。</w:t>
            </w:r>
          </w:p>
          <w:p w14:paraId="4E2546D6">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default" w:ascii="宋体" w:hAnsi="宋体" w:eastAsia="宋体" w:cs="宋体"/>
                <w:b w:val="0"/>
                <w:bCs/>
                <w:sz w:val="24"/>
                <w:szCs w:val="24"/>
                <w:lang w:val="en-US" w:eastAsia="zh-CN"/>
              </w:rPr>
            </w:pPr>
            <w:r>
              <w:rPr>
                <w:rFonts w:hint="eastAsia" w:ascii="宋体" w:hAnsi="宋体" w:cs="宋体"/>
                <w:b w:val="0"/>
                <w:bCs/>
                <w:color w:val="auto"/>
                <w:sz w:val="24"/>
                <w:szCs w:val="24"/>
                <w:lang w:val="en-US" w:eastAsia="zh-CN"/>
              </w:rPr>
              <w:t>5、当二次报价相同时，现场专家逐次按照以下参数决定最终中标方：①</w:t>
            </w:r>
            <w:r>
              <w:rPr>
                <w:rFonts w:hint="default" w:ascii="宋体" w:hAnsi="宋体" w:eastAsia="宋体" w:cs="宋体"/>
                <w:color w:val="auto"/>
                <w:sz w:val="24"/>
                <w:szCs w:val="24"/>
                <w:lang w:val="en-US" w:eastAsia="zh-CN"/>
              </w:rPr>
              <w:t>测试速度</w:t>
            </w:r>
            <w:r>
              <w:rPr>
                <w:rFonts w:hint="eastAsia" w:ascii="宋体" w:hAnsi="宋体" w:cs="宋体"/>
                <w:color w:val="auto"/>
                <w:sz w:val="24"/>
                <w:szCs w:val="24"/>
                <w:lang w:val="en-US" w:eastAsia="zh-CN"/>
              </w:rPr>
              <w:t>时间；②设备已配置</w:t>
            </w:r>
            <w:r>
              <w:rPr>
                <w:rFonts w:hint="default" w:ascii="宋体" w:hAnsi="宋体" w:eastAsia="宋体" w:cs="宋体"/>
                <w:color w:val="auto"/>
                <w:sz w:val="24"/>
                <w:szCs w:val="24"/>
                <w:lang w:val="en-US" w:eastAsia="zh-CN"/>
              </w:rPr>
              <w:t>智能结果解读</w:t>
            </w:r>
            <w:r>
              <w:rPr>
                <w:rFonts w:hint="eastAsia" w:ascii="宋体" w:hAnsi="宋体" w:cs="宋体"/>
                <w:color w:val="auto"/>
                <w:sz w:val="24"/>
                <w:szCs w:val="24"/>
                <w:lang w:val="en-US" w:eastAsia="zh-CN"/>
              </w:rPr>
              <w:t>软件；③</w:t>
            </w:r>
            <w:r>
              <w:rPr>
                <w:rFonts w:hint="eastAsia" w:ascii="宋体" w:hAnsi="宋体" w:cs="宋体"/>
                <w:b w:val="0"/>
                <w:bCs/>
                <w:color w:val="auto"/>
                <w:sz w:val="24"/>
                <w:szCs w:val="24"/>
                <w:lang w:val="en-US" w:eastAsia="zh-CN"/>
              </w:rPr>
              <w:t>耗占比最低</w:t>
            </w:r>
            <w:r>
              <w:rPr>
                <w:rFonts w:hint="eastAsia" w:ascii="宋体" w:hAnsi="宋体" w:cs="宋体"/>
                <w:b w:val="0"/>
                <w:bCs/>
                <w:sz w:val="24"/>
                <w:szCs w:val="24"/>
                <w:lang w:val="en-US" w:eastAsia="zh-CN"/>
              </w:rPr>
              <w:t>。</w:t>
            </w:r>
          </w:p>
        </w:tc>
        <w:tc>
          <w:tcPr>
            <w:tcW w:w="1110" w:type="dxa"/>
            <w:vAlign w:val="top"/>
          </w:tcPr>
          <w:p w14:paraId="22379174">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cs="宋体"/>
                <w:b w:val="0"/>
                <w:bCs/>
                <w:color w:val="auto"/>
                <w:sz w:val="24"/>
                <w:szCs w:val="24"/>
                <w:lang w:val="en-US" w:eastAsia="zh-CN"/>
              </w:rPr>
            </w:pPr>
          </w:p>
        </w:tc>
        <w:tc>
          <w:tcPr>
            <w:tcW w:w="1137" w:type="dxa"/>
            <w:vAlign w:val="top"/>
          </w:tcPr>
          <w:p w14:paraId="451B2DF1">
            <w:pPr>
              <w:keepNext w:val="0"/>
              <w:keepLines w:val="0"/>
              <w:pageBreakBefore w:val="0"/>
              <w:widowControl w:val="0"/>
              <w:kinsoku/>
              <w:wordWrap/>
              <w:overflowPunct/>
              <w:topLinePunct w:val="0"/>
              <w:autoSpaceDE/>
              <w:autoSpaceDN/>
              <w:bidi w:val="0"/>
              <w:adjustRightInd/>
              <w:snapToGrid/>
              <w:spacing w:line="370" w:lineRule="exact"/>
              <w:ind w:right="0" w:rightChars="0"/>
              <w:jc w:val="both"/>
              <w:textAlignment w:val="auto"/>
              <w:outlineLvl w:val="9"/>
              <w:rPr>
                <w:rFonts w:hint="eastAsia" w:ascii="宋体" w:hAnsi="宋体" w:cs="宋体"/>
                <w:b w:val="0"/>
                <w:bCs/>
                <w:color w:val="auto"/>
                <w:sz w:val="24"/>
                <w:szCs w:val="24"/>
                <w:lang w:val="en-US" w:eastAsia="zh-CN"/>
              </w:rPr>
            </w:pPr>
          </w:p>
        </w:tc>
      </w:tr>
    </w:tbl>
    <w:p w14:paraId="622644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M2NiM2UzMjMzZjRiYzk5MjZhN2IwYWQwZGI5NzMifQ=="/>
  </w:docVars>
  <w:rsids>
    <w:rsidRoot w:val="79AB3C4D"/>
    <w:rsid w:val="3917388C"/>
    <w:rsid w:val="54D979FA"/>
    <w:rsid w:val="79AB3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Words>
  <Characters>719</Characters>
  <Lines>0</Lines>
  <Paragraphs>0</Paragraphs>
  <TotalTime>0</TotalTime>
  <ScaleCrop>false</ScaleCrop>
  <LinksUpToDate>false</LinksUpToDate>
  <CharactersWithSpaces>721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2024-07-08T09:32:00Z</dcterms:created>
  <dc:creator>唔誯竣</dc:creator>
  <cp:lastModifiedBy>唔誯竣</cp:lastModifiedBy>
  <dcterms:modified xsi:type="dcterms:W3CDTF">2024-07-08T09:39:36Z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D12C04D5A75D4499A4C6620CE3B4652C_11</vt:lpwstr>
  </property>
</Properties>
</file>