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E96A0">
      <w:pPr>
        <w:widowControl/>
        <w:jc w:val="left"/>
        <w:rPr>
          <w:rFonts w:hint="eastAsia" w:ascii="宋体" w:hAnsi="宋体" w:cs="宋体"/>
          <w:b/>
          <w:bCs/>
          <w:kern w:val="0"/>
          <w:sz w:val="28"/>
          <w:szCs w:val="28"/>
          <w:vertAlign w:val="baseline"/>
          <w:lang w:val="en-US" w:eastAsia="zh-CN"/>
        </w:rPr>
      </w:pPr>
      <w:r>
        <w:rPr>
          <w:rFonts w:hint="eastAsia" w:ascii="宋体" w:hAnsi="宋体" w:cs="宋体"/>
          <w:b/>
          <w:bCs/>
          <w:kern w:val="0"/>
          <w:sz w:val="28"/>
          <w:szCs w:val="28"/>
          <w:vertAlign w:val="baseline"/>
          <w:lang w:val="en-US" w:eastAsia="zh-CN"/>
        </w:rPr>
        <w:t>附件一：</w:t>
      </w:r>
    </w:p>
    <w:p w14:paraId="326D351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kern w:val="0"/>
          <w:sz w:val="28"/>
          <w:szCs w:val="28"/>
          <w:vertAlign w:val="baseline"/>
          <w:lang w:val="en-US" w:eastAsia="zh-CN"/>
        </w:rPr>
      </w:pPr>
      <w:r>
        <w:rPr>
          <w:rFonts w:hint="eastAsia" w:ascii="宋体" w:hAnsi="宋体" w:cs="宋体"/>
          <w:b/>
          <w:bCs/>
          <w:kern w:val="0"/>
          <w:sz w:val="28"/>
          <w:szCs w:val="28"/>
          <w:vertAlign w:val="baseline"/>
          <w:lang w:val="en-US" w:eastAsia="zh-CN"/>
        </w:rPr>
        <w:t>技术要求</w:t>
      </w:r>
      <w:bookmarkStart w:id="0" w:name="_GoBack"/>
      <w:bookmarkEnd w:id="0"/>
    </w:p>
    <w:p w14:paraId="30D148C6">
      <w:pPr>
        <w:widowControl/>
        <w:jc w:val="center"/>
        <w:rPr>
          <w:rFonts w:hint="default" w:ascii="宋体" w:hAnsi="宋体" w:cs="宋体"/>
          <w:b/>
          <w:bCs/>
          <w:kern w:val="0"/>
          <w:sz w:val="24"/>
          <w:szCs w:val="24"/>
          <w:vertAlign w:val="baseline"/>
          <w:lang w:val="en-US" w:eastAsia="zh-CN"/>
        </w:rPr>
      </w:pPr>
    </w:p>
    <w:tbl>
      <w:tblPr>
        <w:tblStyle w:val="4"/>
        <w:tblpPr w:leftFromText="180" w:rightFromText="180" w:vertAnchor="text" w:tblpXSpec="center" w:tblpY="1"/>
        <w:tblOverlap w:val="never"/>
        <w:tblW w:w="8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4723"/>
        <w:gridCol w:w="1230"/>
        <w:gridCol w:w="1227"/>
      </w:tblGrid>
      <w:tr w14:paraId="1A71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421" w:type="dxa"/>
            <w:vAlign w:val="center"/>
          </w:tcPr>
          <w:p w14:paraId="3ABC142F">
            <w:pPr>
              <w:widowControl/>
              <w:jc w:val="center"/>
              <w:rPr>
                <w:rFonts w:hint="eastAsia" w:ascii="宋体" w:hAnsi="宋体" w:cs="宋体"/>
                <w:b/>
                <w:bCs/>
                <w:kern w:val="0"/>
                <w:sz w:val="24"/>
                <w:szCs w:val="24"/>
                <w:vertAlign w:val="baseline"/>
                <w:lang w:val="en-US" w:eastAsia="zh-CN"/>
              </w:rPr>
            </w:pPr>
          </w:p>
        </w:tc>
        <w:tc>
          <w:tcPr>
            <w:tcW w:w="4723" w:type="dxa"/>
            <w:vAlign w:val="center"/>
          </w:tcPr>
          <w:p w14:paraId="76D0DCC6">
            <w:pPr>
              <w:widowControl/>
              <w:jc w:val="center"/>
              <w:rPr>
                <w:rFonts w:hint="eastAsia" w:ascii="宋体" w:hAnsi="宋体" w:cs="宋体"/>
                <w:b/>
                <w:bCs/>
                <w:kern w:val="0"/>
                <w:sz w:val="24"/>
                <w:szCs w:val="24"/>
                <w:vertAlign w:val="baseline"/>
                <w:lang w:val="en-US" w:eastAsia="zh-CN"/>
              </w:rPr>
            </w:pPr>
          </w:p>
        </w:tc>
        <w:tc>
          <w:tcPr>
            <w:tcW w:w="1230" w:type="dxa"/>
            <w:vAlign w:val="center"/>
          </w:tcPr>
          <w:p w14:paraId="46DF7074">
            <w:pPr>
              <w:widowControl/>
              <w:jc w:val="center"/>
              <w:rPr>
                <w:rFonts w:hint="default" w:ascii="宋体" w:hAnsi="宋体" w:cs="宋体"/>
                <w:b/>
                <w:bCs/>
                <w:kern w:val="0"/>
                <w:sz w:val="24"/>
                <w:szCs w:val="24"/>
                <w:vertAlign w:val="baseline"/>
                <w:lang w:val="en-US" w:eastAsia="zh-CN"/>
              </w:rPr>
            </w:pPr>
            <w:r>
              <w:rPr>
                <w:rFonts w:hint="eastAsia" w:ascii="宋体" w:hAnsi="宋体" w:cs="宋体"/>
                <w:b/>
                <w:bCs/>
                <w:kern w:val="0"/>
                <w:sz w:val="24"/>
                <w:szCs w:val="24"/>
                <w:vertAlign w:val="baseline"/>
                <w:lang w:val="en-US" w:eastAsia="zh-CN"/>
              </w:rPr>
              <w:t>响应</w:t>
            </w:r>
          </w:p>
        </w:tc>
        <w:tc>
          <w:tcPr>
            <w:tcW w:w="1227" w:type="dxa"/>
            <w:vAlign w:val="center"/>
          </w:tcPr>
          <w:p w14:paraId="3BC7BC41">
            <w:pPr>
              <w:widowControl/>
              <w:jc w:val="center"/>
              <w:rPr>
                <w:rFonts w:hint="default" w:ascii="宋体" w:hAnsi="宋体" w:cs="宋体"/>
                <w:b/>
                <w:bCs/>
                <w:kern w:val="0"/>
                <w:sz w:val="24"/>
                <w:szCs w:val="24"/>
                <w:vertAlign w:val="baseline"/>
                <w:lang w:val="en-US" w:eastAsia="zh-CN"/>
              </w:rPr>
            </w:pPr>
            <w:r>
              <w:rPr>
                <w:rFonts w:hint="eastAsia" w:ascii="宋体" w:hAnsi="宋体" w:cs="宋体"/>
                <w:b/>
                <w:bCs/>
                <w:kern w:val="0"/>
                <w:sz w:val="24"/>
                <w:szCs w:val="24"/>
                <w:vertAlign w:val="baseline"/>
                <w:lang w:val="en-US" w:eastAsia="zh-CN"/>
              </w:rPr>
              <w:t>偏离</w:t>
            </w:r>
          </w:p>
        </w:tc>
      </w:tr>
      <w:tr w14:paraId="3C2C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top"/>
          </w:tcPr>
          <w:p w14:paraId="54778E09">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技术要求</w:t>
            </w:r>
          </w:p>
          <w:p w14:paraId="6ECE1810">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lang w:val="en-US"/>
              </w:rPr>
            </w:pPr>
          </w:p>
        </w:tc>
        <w:tc>
          <w:tcPr>
            <w:tcW w:w="4723" w:type="dxa"/>
            <w:vAlign w:val="top"/>
          </w:tcPr>
          <w:p w14:paraId="62F4668A">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color w:val="auto"/>
                <w:sz w:val="24"/>
                <w:szCs w:val="24"/>
              </w:rPr>
              <w:t>规格：</w:t>
            </w:r>
          </w:p>
          <w:p w14:paraId="1DFA9F7B">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color w:val="auto"/>
                <w:sz w:val="24"/>
                <w:szCs w:val="24"/>
              </w:rPr>
              <w:t>1</w:t>
            </w:r>
            <w:r>
              <w:rPr>
                <w:rFonts w:hint="eastAsia" w:ascii="宋体" w:hAnsi="宋体" w:eastAsia="宋体" w:cs="宋体"/>
                <w:sz w:val="24"/>
                <w:szCs w:val="24"/>
              </w:rPr>
              <w:t>.检测原理：磁微粒酶促化学发光</w:t>
            </w:r>
          </w:p>
          <w:p w14:paraId="7E26BE7E">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2.标记物：碱性磷酸酶</w:t>
            </w:r>
          </w:p>
          <w:p w14:paraId="3E5B146F">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3.检测模式：竞争法、夹心法</w:t>
            </w:r>
          </w:p>
          <w:p w14:paraId="2943F354">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4.待机时间：24小时待机，标本随到随测</w:t>
            </w:r>
          </w:p>
          <w:p w14:paraId="173EE2AD">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5.首个结果时间：</w:t>
            </w:r>
            <w:r>
              <w:rPr>
                <w:rFonts w:hint="eastAsia" w:ascii="宋体" w:hAnsi="宋体" w:cs="宋体"/>
                <w:color w:val="auto"/>
                <w:sz w:val="24"/>
                <w:szCs w:val="24"/>
                <w:lang w:eastAsia="zh-CN"/>
              </w:rPr>
              <w:t>≤</w:t>
            </w: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分钟</w:t>
            </w:r>
          </w:p>
          <w:p w14:paraId="76B1FAA6">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6.样本位：6个</w:t>
            </w:r>
          </w:p>
          <w:p w14:paraId="6E6EB1CE">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进样量</w:t>
            </w:r>
            <w:r>
              <w:rPr>
                <w:rFonts w:hint="eastAsia" w:ascii="宋体" w:hAnsi="宋体" w:eastAsia="宋体" w:cs="宋体"/>
                <w:sz w:val="24"/>
                <w:szCs w:val="24"/>
              </w:rPr>
              <w:t>：</w:t>
            </w:r>
            <w:r>
              <w:rPr>
                <w:rFonts w:hint="eastAsia" w:ascii="宋体" w:hAnsi="宋体" w:cs="宋体"/>
                <w:color w:val="auto"/>
                <w:sz w:val="24"/>
                <w:szCs w:val="24"/>
                <w:lang w:eastAsia="zh-CN"/>
              </w:rPr>
              <w:t>≤</w:t>
            </w:r>
            <w:r>
              <w:rPr>
                <w:rFonts w:hint="eastAsia" w:ascii="宋体" w:hAnsi="宋体" w:cs="宋体"/>
                <w:sz w:val="24"/>
                <w:szCs w:val="24"/>
                <w:lang w:val="en-US" w:eastAsia="zh-CN"/>
              </w:rPr>
              <w:t>70</w:t>
            </w:r>
            <w:r>
              <w:rPr>
                <w:rFonts w:hint="eastAsia" w:ascii="宋体" w:hAnsi="宋体" w:eastAsia="宋体" w:cs="宋体"/>
                <w:sz w:val="24"/>
                <w:szCs w:val="24"/>
              </w:rPr>
              <w:t>µL</w:t>
            </w:r>
          </w:p>
          <w:p w14:paraId="4A6B4A6C">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8.批内测量重复性：CV</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8%</w:t>
            </w:r>
          </w:p>
          <w:p w14:paraId="55B48DF4">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.样本类型：全血、血清、血浆</w:t>
            </w:r>
          </w:p>
          <w:p w14:paraId="2431A7FC">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.反应区温度：37℃，准确度±0.3℃，波动度不大于0.1℃</w:t>
            </w:r>
          </w:p>
          <w:p w14:paraId="28F002E3">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1</w:t>
            </w:r>
            <w:r>
              <w:rPr>
                <w:rFonts w:hint="eastAsia" w:ascii="宋体" w:hAnsi="宋体" w:eastAsia="宋体" w:cs="宋体"/>
                <w:sz w:val="24"/>
                <w:szCs w:val="24"/>
              </w:rPr>
              <w:t>.控制单元：电容触控屏</w:t>
            </w:r>
          </w:p>
          <w:p w14:paraId="04FB547B">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.操作语言：中文</w:t>
            </w:r>
          </w:p>
          <w:p w14:paraId="776855F9">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.通讯端口：RS232接口，支持LIS双向通讯</w:t>
            </w:r>
          </w:p>
          <w:p w14:paraId="696A4AE6">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电源：100V~240V  (50Hz</w:t>
            </w:r>
            <w:r>
              <w:rPr>
                <w:rFonts w:hint="eastAsia" w:ascii="宋体" w:hAnsi="宋体" w:cs="宋体"/>
                <w:sz w:val="24"/>
                <w:szCs w:val="24"/>
                <w:lang w:val="en-US" w:eastAsia="zh-CN"/>
              </w:rPr>
              <w:t>-60Hz</w:t>
            </w:r>
            <w:r>
              <w:rPr>
                <w:rFonts w:hint="eastAsia" w:ascii="宋体" w:hAnsi="宋体" w:eastAsia="宋体" w:cs="宋体"/>
                <w:sz w:val="24"/>
                <w:szCs w:val="24"/>
              </w:rPr>
              <w:t>)</w:t>
            </w:r>
          </w:p>
          <w:p w14:paraId="4B2D771E">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.外型尺寸：长(</w:t>
            </w:r>
            <w:r>
              <w:rPr>
                <w:rFonts w:hint="eastAsia" w:ascii="宋体" w:hAnsi="宋体" w:cs="宋体"/>
                <w:color w:val="auto"/>
                <w:sz w:val="24"/>
                <w:szCs w:val="24"/>
                <w:lang w:eastAsia="zh-CN"/>
              </w:rPr>
              <w:t>≤</w:t>
            </w:r>
            <w:r>
              <w:rPr>
                <w:rFonts w:hint="eastAsia" w:ascii="宋体" w:hAnsi="宋体" w:eastAsia="宋体" w:cs="宋体"/>
                <w:color w:val="auto"/>
                <w:sz w:val="24"/>
                <w:szCs w:val="24"/>
              </w:rPr>
              <w:t>500mm)*宽</w:t>
            </w:r>
            <w:r>
              <w:rPr>
                <w:rFonts w:hint="eastAsia" w:ascii="宋体" w:hAnsi="宋体" w:cs="宋体"/>
                <w:color w:val="auto"/>
                <w:sz w:val="24"/>
                <w:szCs w:val="24"/>
                <w:lang w:eastAsia="zh-CN"/>
              </w:rPr>
              <w:t>≤</w:t>
            </w:r>
            <w:r>
              <w:rPr>
                <w:rFonts w:hint="eastAsia" w:ascii="宋体" w:hAnsi="宋体" w:eastAsia="宋体" w:cs="宋体"/>
                <w:color w:val="auto"/>
                <w:sz w:val="24"/>
                <w:szCs w:val="24"/>
              </w:rPr>
              <w:t>(400mm)*高(</w:t>
            </w:r>
            <w:r>
              <w:rPr>
                <w:rFonts w:hint="eastAsia" w:ascii="宋体" w:hAnsi="宋体" w:cs="宋体"/>
                <w:color w:val="auto"/>
                <w:sz w:val="24"/>
                <w:szCs w:val="24"/>
                <w:lang w:eastAsia="zh-CN"/>
              </w:rPr>
              <w:t>≤</w:t>
            </w:r>
            <w:r>
              <w:rPr>
                <w:rFonts w:hint="eastAsia" w:ascii="宋体" w:hAnsi="宋体" w:eastAsia="宋体" w:cs="宋体"/>
                <w:color w:val="auto"/>
                <w:sz w:val="24"/>
                <w:szCs w:val="24"/>
              </w:rPr>
              <w:t>600mm)</w:t>
            </w:r>
          </w:p>
          <w:p w14:paraId="6F7AA6BB">
            <w:pPr>
              <w:numPr>
                <w:ilvl w:val="0"/>
                <w:numId w:val="0"/>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cs="宋体"/>
                <w:color w:val="auto"/>
                <w:sz w:val="24"/>
                <w:szCs w:val="24"/>
                <w:lang w:eastAsia="zh-CN"/>
              </w:rPr>
              <w:t>整机</w:t>
            </w:r>
            <w:r>
              <w:rPr>
                <w:rFonts w:hint="eastAsia" w:ascii="宋体" w:hAnsi="宋体" w:eastAsia="宋体" w:cs="宋体"/>
                <w:color w:val="auto"/>
                <w:sz w:val="24"/>
                <w:szCs w:val="24"/>
              </w:rPr>
              <w:t>重量：</w:t>
            </w:r>
            <w:r>
              <w:rPr>
                <w:rFonts w:hint="eastAsia" w:ascii="宋体" w:hAnsi="宋体" w:cs="宋体"/>
                <w:color w:val="auto"/>
                <w:sz w:val="24"/>
                <w:szCs w:val="24"/>
                <w:lang w:eastAsia="zh-CN"/>
              </w:rPr>
              <w:t>≤</w:t>
            </w:r>
            <w:r>
              <w:rPr>
                <w:rFonts w:hint="eastAsia" w:ascii="宋体" w:hAnsi="宋体" w:eastAsia="宋体" w:cs="宋体"/>
                <w:color w:val="auto"/>
                <w:sz w:val="24"/>
                <w:szCs w:val="24"/>
              </w:rPr>
              <w:t>50Kg</w:t>
            </w:r>
          </w:p>
          <w:p w14:paraId="56B94206">
            <w:pPr>
              <w:numPr>
                <w:ilvl w:val="0"/>
                <w:numId w:val="0"/>
              </w:numPr>
              <w:spacing w:line="360" w:lineRule="auto"/>
              <w:rPr>
                <w:rFonts w:hint="eastAsia" w:ascii="宋体" w:hAnsi="宋体" w:eastAsia="宋体" w:cs="宋体"/>
                <w:b w:val="0"/>
                <w:bCs/>
                <w:color w:val="auto"/>
                <w:sz w:val="24"/>
                <w:szCs w:val="24"/>
              </w:rPr>
            </w:pPr>
            <w:r>
              <w:rPr>
                <w:rFonts w:hint="eastAsia" w:ascii="宋体" w:hAnsi="宋体" w:eastAsiaTheme="minorEastAsia" w:cstheme="minorBidi"/>
                <w:b w:val="0"/>
                <w:bCs/>
                <w:color w:val="auto"/>
                <w:kern w:val="2"/>
                <w:sz w:val="24"/>
                <w:szCs w:val="24"/>
                <w:lang w:val="en-US" w:eastAsia="zh-CN" w:bidi="ar-SA"/>
              </w:rPr>
              <w:t>17.人份要求：能提供单人份或50人份以下试剂。</w:t>
            </w:r>
          </w:p>
          <w:p w14:paraId="60AC7E7A">
            <w:pPr>
              <w:numPr>
                <w:ilvl w:val="0"/>
                <w:numId w:val="0"/>
              </w:numPr>
              <w:spacing w:line="360" w:lineRule="auto"/>
              <w:rPr>
                <w:rFonts w:hint="eastAsia" w:ascii="宋体" w:hAnsi="宋体" w:eastAsia="宋体" w:cs="宋体"/>
                <w:sz w:val="24"/>
                <w:szCs w:val="24"/>
              </w:rPr>
            </w:pPr>
            <w:r>
              <w:rPr>
                <w:rFonts w:hint="eastAsia" w:ascii="宋体" w:hAnsi="宋体" w:eastAsiaTheme="minorEastAsia" w:cstheme="minorBidi"/>
                <w:b/>
                <w:bCs w:val="0"/>
                <w:color w:val="auto"/>
                <w:kern w:val="2"/>
                <w:sz w:val="24"/>
                <w:szCs w:val="24"/>
                <w:lang w:val="en-US" w:eastAsia="zh-CN" w:bidi="ar-SA"/>
              </w:rPr>
              <w:t>投标人须在响应文件中承诺设备中标后的配套耗材销售价格为全省最低价，且耗占比不超过30%，耗材实际采购价格以耗材议价结果为准。未承诺视为无效响应。</w:t>
            </w:r>
          </w:p>
        </w:tc>
        <w:tc>
          <w:tcPr>
            <w:tcW w:w="1230" w:type="dxa"/>
            <w:vAlign w:val="top"/>
          </w:tcPr>
          <w:p w14:paraId="206987B2">
            <w:pPr>
              <w:numPr>
                <w:ilvl w:val="0"/>
                <w:numId w:val="0"/>
              </w:numPr>
              <w:spacing w:line="360" w:lineRule="auto"/>
              <w:rPr>
                <w:rFonts w:hint="eastAsia" w:ascii="宋体" w:hAnsi="宋体" w:eastAsiaTheme="minorEastAsia" w:cstheme="minorBidi"/>
                <w:b/>
                <w:bCs w:val="0"/>
                <w:color w:val="FF0000"/>
                <w:kern w:val="2"/>
                <w:sz w:val="24"/>
                <w:szCs w:val="24"/>
                <w:lang w:val="en-US" w:eastAsia="zh-CN" w:bidi="ar-SA"/>
              </w:rPr>
            </w:pPr>
          </w:p>
        </w:tc>
        <w:tc>
          <w:tcPr>
            <w:tcW w:w="1227" w:type="dxa"/>
            <w:vAlign w:val="top"/>
          </w:tcPr>
          <w:p w14:paraId="0E9CBFCA">
            <w:pPr>
              <w:numPr>
                <w:ilvl w:val="0"/>
                <w:numId w:val="0"/>
              </w:numPr>
              <w:spacing w:line="360" w:lineRule="auto"/>
              <w:rPr>
                <w:rFonts w:hint="eastAsia" w:ascii="宋体" w:hAnsi="宋体" w:eastAsiaTheme="minorEastAsia" w:cstheme="minorBidi"/>
                <w:b/>
                <w:bCs w:val="0"/>
                <w:color w:val="FF0000"/>
                <w:kern w:val="2"/>
                <w:sz w:val="24"/>
                <w:szCs w:val="24"/>
                <w:lang w:val="en-US" w:eastAsia="zh-CN" w:bidi="ar-SA"/>
              </w:rPr>
            </w:pPr>
          </w:p>
        </w:tc>
      </w:tr>
      <w:tr w14:paraId="7260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top"/>
          </w:tcPr>
          <w:p w14:paraId="2D44E240">
            <w:pPr>
              <w:pStyle w:val="2"/>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商务要求</w:t>
            </w:r>
          </w:p>
        </w:tc>
        <w:tc>
          <w:tcPr>
            <w:tcW w:w="4723" w:type="dxa"/>
            <w:vAlign w:val="top"/>
          </w:tcPr>
          <w:p w14:paraId="35FE852C">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自验</w:t>
            </w:r>
            <w:r>
              <w:rPr>
                <w:rFonts w:hint="eastAsia" w:ascii="宋体" w:hAnsi="宋体" w:cs="宋体"/>
                <w:color w:val="auto"/>
                <w:sz w:val="24"/>
                <w:szCs w:val="24"/>
                <w:lang w:val="en-US" w:eastAsia="zh-CN"/>
              </w:rPr>
              <w:t>收合格之日起，</w:t>
            </w:r>
            <w:r>
              <w:rPr>
                <w:rFonts w:hint="eastAsia" w:ascii="宋体" w:hAnsi="宋体" w:eastAsia="宋体" w:cs="宋体"/>
                <w:color w:val="auto"/>
                <w:sz w:val="24"/>
                <w:szCs w:val="24"/>
              </w:rPr>
              <w:t>中</w:t>
            </w:r>
            <w:r>
              <w:rPr>
                <w:rFonts w:hint="eastAsia" w:ascii="宋体" w:hAnsi="宋体" w:cs="宋体"/>
                <w:color w:val="auto"/>
                <w:sz w:val="24"/>
                <w:szCs w:val="24"/>
                <w:lang w:val="en-US" w:eastAsia="zh-CN"/>
              </w:rPr>
              <w:t>选</w:t>
            </w:r>
            <w:r>
              <w:rPr>
                <w:rFonts w:hint="eastAsia" w:ascii="宋体" w:hAnsi="宋体" w:eastAsia="宋体" w:cs="宋体"/>
                <w:color w:val="auto"/>
                <w:sz w:val="24"/>
                <w:szCs w:val="24"/>
              </w:rPr>
              <w:t>供应商</w:t>
            </w:r>
            <w:r>
              <w:rPr>
                <w:rFonts w:hint="eastAsia" w:ascii="宋体" w:hAnsi="宋体" w:cs="宋体"/>
                <w:color w:val="auto"/>
                <w:sz w:val="24"/>
                <w:szCs w:val="24"/>
                <w:lang w:eastAsia="zh-CN"/>
              </w:rPr>
              <w:t>提供</w:t>
            </w:r>
            <w:r>
              <w:rPr>
                <w:rFonts w:hint="eastAsia" w:ascii="宋体" w:hAnsi="宋体" w:eastAsia="宋体" w:cs="宋体"/>
                <w:color w:val="auto"/>
                <w:sz w:val="24"/>
                <w:szCs w:val="24"/>
                <w:lang w:val="en-US" w:eastAsia="zh-CN"/>
              </w:rPr>
              <w:t>产品</w:t>
            </w:r>
            <w:r>
              <w:rPr>
                <w:rFonts w:hint="eastAsia" w:ascii="宋体" w:hAnsi="宋体" w:eastAsia="宋体" w:cs="宋体"/>
                <w:color w:val="auto"/>
                <w:sz w:val="24"/>
                <w:szCs w:val="24"/>
              </w:rPr>
              <w:t>整机免费保修服务</w:t>
            </w:r>
            <w:r>
              <w:rPr>
                <w:rFonts w:hint="eastAsia" w:ascii="宋体" w:hAnsi="宋体" w:cs="宋体"/>
                <w:color w:val="auto"/>
                <w:sz w:val="24"/>
                <w:szCs w:val="24"/>
                <w:lang w:val="en-US" w:eastAsia="zh-CN"/>
              </w:rPr>
              <w:t>至少</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年。</w:t>
            </w:r>
          </w:p>
          <w:p w14:paraId="3CA26E5A">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2、产品</w:t>
            </w:r>
            <w:r>
              <w:rPr>
                <w:rFonts w:hint="eastAsia" w:ascii="宋体" w:hAnsi="宋体" w:eastAsia="宋体" w:cs="宋体"/>
                <w:color w:val="auto"/>
                <w:sz w:val="24"/>
                <w:szCs w:val="24"/>
              </w:rPr>
              <w:t>必须在签订合同后</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日内交货并安装调试完毕（有关的一切费用由中</w:t>
            </w:r>
            <w:r>
              <w:rPr>
                <w:rFonts w:hint="eastAsia" w:ascii="宋体" w:hAnsi="宋体" w:cs="宋体"/>
                <w:color w:val="auto"/>
                <w:sz w:val="24"/>
                <w:szCs w:val="24"/>
                <w:lang w:val="en-US" w:eastAsia="zh-CN"/>
              </w:rPr>
              <w:t>选</w:t>
            </w:r>
            <w:r>
              <w:rPr>
                <w:rFonts w:hint="eastAsia" w:ascii="宋体" w:hAnsi="宋体" w:eastAsia="宋体" w:cs="宋体"/>
                <w:color w:val="auto"/>
                <w:sz w:val="24"/>
                <w:szCs w:val="24"/>
              </w:rPr>
              <w:t>供应商承担）。</w:t>
            </w:r>
          </w:p>
          <w:p w14:paraId="5F04194C">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cs="宋体"/>
                <w:color w:val="000000" w:themeColor="text1"/>
                <w:sz w:val="24"/>
                <w:szCs w:val="24"/>
                <w:lang w:val="en-US" w:eastAsia="zh-CN"/>
                <w14:textFill>
                  <w14:solidFill>
                    <w14:schemeClr w14:val="tx1"/>
                  </w14:solidFill>
                </w14:textFill>
              </w:rPr>
              <w:t>合</w:t>
            </w:r>
            <w:r>
              <w:rPr>
                <w:rFonts w:hint="eastAsia" w:ascii="宋体" w:hAnsi="宋体" w:eastAsia="宋体" w:cs="宋体"/>
                <w:color w:val="000000" w:themeColor="text1"/>
                <w:sz w:val="24"/>
                <w:szCs w:val="24"/>
                <w14:textFill>
                  <w14:solidFill>
                    <w14:schemeClr w14:val="tx1"/>
                  </w14:solidFill>
                </w14:textFill>
              </w:rPr>
              <w:t>同签订时中选供应商向采购人支付合同总价的5%作为履约保证金。设备安装、调试、验收合格后，采购人向已提供全额增值税普通发票的中选供应商支付合同总款；合同约定服务期满后无未解决的质量问题，采购人将向中选供应商无息退还原履约保证金。</w:t>
            </w:r>
          </w:p>
          <w:p w14:paraId="4421ADD8">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4、中标方负责产品整机终身免费质保，免费维修保养时间自验收合格之日起，维修响应时间&lt;15分钟，工程师到达现场&lt;120分钟，免费提供质控品。</w:t>
            </w:r>
          </w:p>
          <w:p w14:paraId="221654EA">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b w:val="0"/>
                <w:bCs/>
                <w:sz w:val="24"/>
                <w:szCs w:val="24"/>
                <w:lang w:val="en-US" w:eastAsia="zh-CN"/>
              </w:rPr>
            </w:pPr>
            <w:r>
              <w:rPr>
                <w:rFonts w:hint="eastAsia" w:ascii="宋体" w:hAnsi="宋体" w:eastAsia="宋体" w:cs="宋体"/>
                <w:sz w:val="24"/>
                <w:szCs w:val="24"/>
                <w:lang w:val="en-US" w:eastAsia="zh-CN"/>
              </w:rPr>
              <w:t>5、当二次报价相同时，现场专家逐次按照以下参数决定最终中标方：①批内测量重复性（CV）；②最低人份要求；③耗占比最低。</w:t>
            </w:r>
          </w:p>
        </w:tc>
        <w:tc>
          <w:tcPr>
            <w:tcW w:w="1230" w:type="dxa"/>
            <w:vAlign w:val="top"/>
          </w:tcPr>
          <w:p w14:paraId="0D42625C">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lang w:val="en-US" w:eastAsia="zh-CN"/>
              </w:rPr>
            </w:pPr>
          </w:p>
        </w:tc>
        <w:tc>
          <w:tcPr>
            <w:tcW w:w="1227" w:type="dxa"/>
            <w:vAlign w:val="top"/>
          </w:tcPr>
          <w:p w14:paraId="07E955AF">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lang w:val="en-US" w:eastAsia="zh-CN"/>
              </w:rPr>
            </w:pPr>
          </w:p>
        </w:tc>
      </w:tr>
    </w:tbl>
    <w:p w14:paraId="402223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M2NiM2UzMjMzZjRiYzk5MjZhN2IwYWQwZGI5NzMifQ=="/>
  </w:docVars>
  <w:rsids>
    <w:rsidRoot w:val="79AB3C4D"/>
    <w:rsid w:val="79AB3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2024-07-08T09:32:00Z</dcterms:created>
  <dc:creator>唔誯竣</dc:creator>
  <cp:lastModifiedBy>唔誯竣</cp:lastModifiedBy>
  <dcterms:modified xsi:type="dcterms:W3CDTF">2024-07-08T09:35:55Z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D12C04D5A75D4499A4C6620CE3B4652C_11</vt:lpwstr>
  </property>
</Properties>
</file>