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 w:hAnsi="仿宋" w:eastAsia="仿宋"/>
          <w:color w:val="000000"/>
          <w:sz w:val="32"/>
          <w:szCs w:val="32"/>
        </w:rPr>
      </w:pPr>
      <w:r>
        <w:rPr>
          <w:rFonts w:hint="eastAsia" w:ascii="仿宋" w:hAnsi="仿宋" w:eastAsia="仿宋"/>
          <w:color w:val="000000"/>
          <w:sz w:val="32"/>
          <w:szCs w:val="32"/>
        </w:rPr>
        <w:t>附件1：</w:t>
      </w:r>
    </w:p>
    <w:p>
      <w:pPr>
        <w:spacing w:line="580" w:lineRule="exact"/>
        <w:jc w:val="center"/>
        <w:rPr>
          <w:rFonts w:hint="eastAsia" w:ascii="方正公文小标宋" w:hAnsi="方正公文小标宋" w:eastAsia="方正公文小标宋" w:cs="方正公文小标宋"/>
          <w:color w:val="000000"/>
          <w:sz w:val="36"/>
          <w:szCs w:val="36"/>
        </w:rPr>
      </w:pPr>
    </w:p>
    <w:p>
      <w:pPr>
        <w:spacing w:line="580" w:lineRule="exact"/>
        <w:jc w:val="center"/>
        <w:rPr>
          <w:rFonts w:hint="eastAsia" w:ascii="方正公文小标宋" w:hAnsi="方正公文小标宋" w:eastAsia="方正公文小标宋" w:cs="方正公文小标宋"/>
          <w:color w:val="000000"/>
          <w:sz w:val="36"/>
          <w:szCs w:val="36"/>
        </w:rPr>
      </w:pPr>
      <w:r>
        <w:rPr>
          <w:rFonts w:hint="eastAsia" w:ascii="方正公文小标宋" w:hAnsi="方正公文小标宋" w:eastAsia="方正公文小标宋" w:cs="方正公文小标宋"/>
          <w:color w:val="000000"/>
          <w:sz w:val="36"/>
          <w:szCs w:val="36"/>
        </w:rPr>
        <w:t>江西省中医药中青年骨干人才(第</w:t>
      </w:r>
      <w:r>
        <w:rPr>
          <w:rFonts w:hint="eastAsia" w:ascii="方正公文小标宋" w:hAnsi="方正公文小标宋" w:eastAsia="方正公文小标宋" w:cs="方正公文小标宋"/>
          <w:color w:val="000000"/>
          <w:sz w:val="36"/>
          <w:szCs w:val="36"/>
          <w:lang w:eastAsia="zh-CN"/>
        </w:rPr>
        <w:t>四</w:t>
      </w:r>
      <w:r>
        <w:rPr>
          <w:rFonts w:hint="eastAsia" w:ascii="方正公文小标宋" w:hAnsi="方正公文小标宋" w:eastAsia="方正公文小标宋" w:cs="方正公文小标宋"/>
          <w:color w:val="000000"/>
          <w:sz w:val="36"/>
          <w:szCs w:val="36"/>
        </w:rPr>
        <w:t>批)培养计划</w:t>
      </w:r>
    </w:p>
    <w:p>
      <w:pPr>
        <w:spacing w:line="580" w:lineRule="exact"/>
        <w:jc w:val="center"/>
        <w:rPr>
          <w:rFonts w:hint="eastAsia" w:ascii="方正公文小标宋" w:hAnsi="方正公文小标宋" w:eastAsia="方正公文小标宋" w:cs="方正公文小标宋"/>
          <w:color w:val="000000"/>
          <w:sz w:val="36"/>
          <w:szCs w:val="36"/>
        </w:rPr>
      </w:pPr>
      <w:r>
        <w:rPr>
          <w:rFonts w:hint="eastAsia" w:ascii="方正公文小标宋" w:hAnsi="方正公文小标宋" w:eastAsia="方正公文小标宋" w:cs="方正公文小标宋"/>
          <w:color w:val="000000"/>
          <w:sz w:val="36"/>
          <w:szCs w:val="36"/>
        </w:rPr>
        <w:t>实施方案</w:t>
      </w:r>
    </w:p>
    <w:p>
      <w:pPr>
        <w:spacing w:line="580" w:lineRule="exact"/>
        <w:ind w:firstLine="720" w:firstLineChars="200"/>
        <w:rPr>
          <w:rFonts w:ascii="方正小标宋简体" w:hAnsi="仿宋" w:eastAsia="方正小标宋简体"/>
          <w:color w:val="000000"/>
          <w:sz w:val="36"/>
          <w:szCs w:val="36"/>
        </w:rPr>
      </w:pPr>
    </w:p>
    <w:p>
      <w:pPr>
        <w:spacing w:line="580" w:lineRule="exact"/>
        <w:ind w:firstLine="640" w:firstLineChars="200"/>
        <w:rPr>
          <w:rFonts w:ascii="方正小标宋简体" w:hAnsi="仿宋" w:eastAsia="方正小标宋简体"/>
          <w:color w:val="000000"/>
          <w:sz w:val="36"/>
          <w:szCs w:val="36"/>
        </w:rPr>
      </w:pPr>
      <w:r>
        <w:rPr>
          <w:rFonts w:hint="eastAsia" w:ascii="仿宋" w:hAnsi="仿宋" w:eastAsia="仿宋"/>
          <w:color w:val="000000"/>
          <w:sz w:val="32"/>
          <w:szCs w:val="32"/>
        </w:rPr>
        <w:t>为深入贯彻《中共江西省委 江西省人民政府关于促进中医药传承创新发展的实施意见》（赣发〔2020〕14号）精神</w:t>
      </w:r>
      <w:r>
        <w:rPr>
          <w:rFonts w:ascii="仿宋" w:hAnsi="仿宋" w:eastAsia="仿宋"/>
          <w:color w:val="000000"/>
          <w:sz w:val="32"/>
          <w:szCs w:val="32"/>
        </w:rPr>
        <w:t>，</w:t>
      </w:r>
      <w:r>
        <w:rPr>
          <w:rFonts w:hint="eastAsia" w:ascii="仿宋" w:hAnsi="仿宋" w:eastAsia="仿宋"/>
          <w:color w:val="000000"/>
          <w:sz w:val="32"/>
          <w:szCs w:val="32"/>
          <w:lang w:eastAsia="zh-CN"/>
        </w:rPr>
        <w:t>加强</w:t>
      </w:r>
      <w:r>
        <w:rPr>
          <w:rFonts w:hint="eastAsia" w:ascii="仿宋" w:hAnsi="仿宋" w:eastAsia="仿宋"/>
          <w:color w:val="000000"/>
          <w:sz w:val="32"/>
          <w:szCs w:val="32"/>
        </w:rPr>
        <w:t>中医药中青年骨干人才队</w:t>
      </w:r>
      <w:bookmarkStart w:id="0" w:name="_GoBack"/>
      <w:bookmarkEnd w:id="0"/>
      <w:r>
        <w:rPr>
          <w:rFonts w:hint="eastAsia" w:ascii="仿宋" w:hAnsi="仿宋" w:eastAsia="仿宋"/>
          <w:color w:val="000000"/>
          <w:sz w:val="32"/>
          <w:szCs w:val="32"/>
        </w:rPr>
        <w:t>伍建设，根据</w:t>
      </w:r>
      <w:r>
        <w:rPr>
          <w:rFonts w:ascii="仿宋" w:hAnsi="仿宋" w:eastAsia="仿宋"/>
          <w:color w:val="000000"/>
          <w:sz w:val="32"/>
          <w:szCs w:val="32"/>
        </w:rPr>
        <w:t>《中医药人才培养“杏林计划”实施方案》（赣卫中医字〔2018〕1 号）</w:t>
      </w:r>
      <w:r>
        <w:rPr>
          <w:rFonts w:hint="eastAsia" w:ascii="仿宋" w:hAnsi="仿宋" w:eastAsia="仿宋"/>
          <w:color w:val="000000"/>
          <w:sz w:val="32"/>
          <w:szCs w:val="32"/>
        </w:rPr>
        <w:t>要求，我局将开展江西省中医药中青年骨干人才</w:t>
      </w:r>
      <w:r>
        <w:rPr>
          <w:rFonts w:hint="eastAsia" w:ascii="仿宋" w:hAnsi="仿宋" w:eastAsia="仿宋"/>
          <w:color w:val="000000"/>
          <w:sz w:val="32"/>
          <w:szCs w:val="32"/>
          <w:lang w:eastAsia="zh-CN"/>
        </w:rPr>
        <w:t>（</w:t>
      </w:r>
      <w:r>
        <w:rPr>
          <w:rFonts w:hint="eastAsia" w:ascii="仿宋" w:hAnsi="仿宋" w:eastAsia="仿宋"/>
          <w:color w:val="000000"/>
          <w:sz w:val="32"/>
          <w:szCs w:val="32"/>
        </w:rPr>
        <w:t>第</w:t>
      </w:r>
      <w:r>
        <w:rPr>
          <w:rFonts w:hint="eastAsia" w:ascii="仿宋" w:hAnsi="仿宋" w:eastAsia="仿宋"/>
          <w:color w:val="000000"/>
          <w:sz w:val="32"/>
          <w:szCs w:val="32"/>
          <w:lang w:eastAsia="zh-CN"/>
        </w:rPr>
        <w:t>四</w:t>
      </w:r>
      <w:r>
        <w:rPr>
          <w:rFonts w:hint="eastAsia" w:ascii="仿宋" w:hAnsi="仿宋" w:eastAsia="仿宋"/>
          <w:color w:val="000000"/>
          <w:sz w:val="32"/>
          <w:szCs w:val="32"/>
        </w:rPr>
        <w:t>批</w:t>
      </w:r>
      <w:r>
        <w:rPr>
          <w:rFonts w:hint="eastAsia" w:ascii="仿宋" w:hAnsi="仿宋" w:eastAsia="仿宋"/>
          <w:color w:val="000000"/>
          <w:sz w:val="32"/>
          <w:szCs w:val="32"/>
          <w:lang w:eastAsia="zh-CN"/>
        </w:rPr>
        <w:t>）</w:t>
      </w:r>
      <w:r>
        <w:rPr>
          <w:rFonts w:hint="eastAsia" w:ascii="仿宋" w:hAnsi="仿宋" w:eastAsia="仿宋"/>
          <w:color w:val="000000"/>
          <w:sz w:val="32"/>
          <w:szCs w:val="32"/>
        </w:rPr>
        <w:t>培养计划。为保证培养计划的顺利实施，特制定本实施方案。</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一、培养目标</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在全省选拔50名中医药中青年骨干人才培养对象（</w:t>
      </w:r>
      <w:r>
        <w:rPr>
          <w:rFonts w:ascii="仿宋" w:hAnsi="仿宋" w:eastAsia="仿宋" w:cs="仿宋_GB2312"/>
          <w:bCs/>
          <w:sz w:val="32"/>
          <w:szCs w:val="32"/>
        </w:rPr>
        <w:t>中医</w:t>
      </w:r>
      <w:r>
        <w:rPr>
          <w:rFonts w:hint="eastAsia" w:ascii="仿宋" w:hAnsi="仿宋" w:eastAsia="仿宋" w:cs="仿宋_GB2312"/>
          <w:bCs/>
          <w:sz w:val="32"/>
          <w:szCs w:val="32"/>
        </w:rPr>
        <w:t>药</w:t>
      </w:r>
      <w:r>
        <w:rPr>
          <w:rFonts w:ascii="仿宋" w:hAnsi="仿宋" w:eastAsia="仿宋" w:cs="仿宋_GB2312"/>
          <w:bCs/>
          <w:sz w:val="32"/>
          <w:szCs w:val="32"/>
        </w:rPr>
        <w:t>临床、</w:t>
      </w:r>
      <w:r>
        <w:rPr>
          <w:rFonts w:hint="eastAsia" w:ascii="仿宋" w:hAnsi="仿宋" w:eastAsia="仿宋" w:cs="仿宋_GB2312"/>
          <w:bCs/>
          <w:sz w:val="32"/>
          <w:szCs w:val="32"/>
        </w:rPr>
        <w:t>科研，中药开发方向）</w:t>
      </w:r>
      <w:r>
        <w:rPr>
          <w:rFonts w:hint="eastAsia" w:ascii="仿宋" w:hAnsi="仿宋" w:eastAsia="仿宋"/>
          <w:color w:val="000000"/>
          <w:sz w:val="32"/>
          <w:szCs w:val="32"/>
        </w:rPr>
        <w:t>，依托相关培养单位，采取经典研修、跟师学习、交流实践和自主研究相结合的方式，培养一批热爱中医药事业、理论功底深厚、实践经验丰富、技能精湛，教学科研能力强、全面掌握中医药各方面知识的中青年骨干人才，使其技术经验和学术成就得到进一步提高，提升中青年骨干人才在全行业的影响力，为发展中医药事业、产业的发展做出一定贡献。</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二、遴选</w:t>
      </w:r>
      <w:r>
        <w:rPr>
          <w:rFonts w:ascii="黑体" w:hAnsi="黑体" w:eastAsia="黑体" w:cs="Times New Roman"/>
          <w:sz w:val="32"/>
          <w:szCs w:val="32"/>
        </w:rPr>
        <w:t>条件</w:t>
      </w:r>
    </w:p>
    <w:p>
      <w:pPr>
        <w:autoSpaceDE w:val="0"/>
        <w:autoSpaceDN w:val="0"/>
        <w:adjustRightInd w:val="0"/>
        <w:snapToGrid w:val="0"/>
        <w:spacing w:line="580" w:lineRule="exact"/>
        <w:ind w:firstLine="640" w:firstLineChars="200"/>
        <w:rPr>
          <w:rFonts w:ascii="仿宋" w:hAnsi="仿宋" w:eastAsia="仿宋" w:cs="仿宋_GB2312"/>
          <w:bCs/>
          <w:sz w:val="32"/>
          <w:szCs w:val="32"/>
        </w:rPr>
      </w:pPr>
      <w:r>
        <w:rPr>
          <w:rFonts w:ascii="仿宋" w:hAnsi="仿宋" w:eastAsia="仿宋" w:cs="仿宋_GB2312"/>
          <w:bCs/>
          <w:sz w:val="32"/>
          <w:szCs w:val="32"/>
        </w:rPr>
        <w:t>（</w:t>
      </w:r>
      <w:r>
        <w:rPr>
          <w:rFonts w:hint="eastAsia" w:ascii="仿宋" w:hAnsi="仿宋" w:eastAsia="仿宋" w:cs="仿宋_GB2312"/>
          <w:bCs/>
          <w:sz w:val="32"/>
          <w:szCs w:val="32"/>
        </w:rPr>
        <w:t>一</w:t>
      </w:r>
      <w:r>
        <w:rPr>
          <w:rFonts w:ascii="仿宋" w:hAnsi="仿宋" w:eastAsia="仿宋" w:cs="仿宋_GB2312"/>
          <w:bCs/>
          <w:sz w:val="32"/>
          <w:szCs w:val="32"/>
        </w:rPr>
        <w:t>）在</w:t>
      </w:r>
      <w:r>
        <w:rPr>
          <w:rFonts w:hint="eastAsia" w:ascii="仿宋" w:hAnsi="仿宋" w:eastAsia="仿宋" w:cs="仿宋_GB2312"/>
          <w:bCs/>
          <w:sz w:val="32"/>
          <w:szCs w:val="32"/>
        </w:rPr>
        <w:t>全省范围内</w:t>
      </w:r>
      <w:r>
        <w:rPr>
          <w:rFonts w:ascii="仿宋" w:hAnsi="仿宋" w:eastAsia="仿宋" w:cs="仿宋_GB2312"/>
          <w:bCs/>
          <w:sz w:val="32"/>
          <w:szCs w:val="32"/>
        </w:rPr>
        <w:t>从事中医</w:t>
      </w:r>
      <w:r>
        <w:rPr>
          <w:rFonts w:hint="eastAsia" w:ascii="仿宋" w:hAnsi="仿宋" w:eastAsia="仿宋" w:cs="仿宋_GB2312"/>
          <w:bCs/>
          <w:sz w:val="32"/>
          <w:szCs w:val="32"/>
        </w:rPr>
        <w:t>药</w:t>
      </w:r>
      <w:r>
        <w:rPr>
          <w:rFonts w:ascii="仿宋" w:hAnsi="仿宋" w:eastAsia="仿宋" w:cs="仿宋_GB2312"/>
          <w:bCs/>
          <w:sz w:val="32"/>
          <w:szCs w:val="32"/>
        </w:rPr>
        <w:t>临床、</w:t>
      </w:r>
      <w:r>
        <w:rPr>
          <w:rFonts w:hint="eastAsia" w:ascii="仿宋" w:hAnsi="仿宋" w:eastAsia="仿宋" w:cs="仿宋_GB2312"/>
          <w:bCs/>
          <w:sz w:val="32"/>
          <w:szCs w:val="32"/>
        </w:rPr>
        <w:t>科研</w:t>
      </w:r>
      <w:r>
        <w:rPr>
          <w:rFonts w:ascii="仿宋" w:hAnsi="仿宋" w:eastAsia="仿宋" w:cs="仿宋_GB2312"/>
          <w:bCs/>
          <w:sz w:val="32"/>
          <w:szCs w:val="32"/>
        </w:rPr>
        <w:t>工作</w:t>
      </w:r>
      <w:r>
        <w:rPr>
          <w:rFonts w:hint="eastAsia" w:ascii="仿宋" w:hAnsi="仿宋" w:eastAsia="仿宋" w:cs="仿宋_GB2312"/>
          <w:bCs/>
          <w:sz w:val="32"/>
          <w:szCs w:val="32"/>
        </w:rPr>
        <w:t>的专业技术人员；</w:t>
      </w:r>
    </w:p>
    <w:p>
      <w:pPr>
        <w:autoSpaceDE w:val="0"/>
        <w:autoSpaceDN w:val="0"/>
        <w:adjustRightInd w:val="0"/>
        <w:snapToGrid w:val="0"/>
        <w:spacing w:line="5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（二）在全省中医药生产相关企业从事中医生产、加工科研工作的专业技术人员</w:t>
      </w:r>
      <w:r>
        <w:rPr>
          <w:rFonts w:ascii="仿宋" w:hAnsi="仿宋" w:eastAsia="仿宋" w:cs="仿宋_GB2312"/>
          <w:bCs/>
          <w:sz w:val="32"/>
          <w:szCs w:val="32"/>
        </w:rPr>
        <w:t>；</w:t>
      </w:r>
    </w:p>
    <w:p>
      <w:pPr>
        <w:autoSpaceDE w:val="0"/>
        <w:autoSpaceDN w:val="0"/>
        <w:adjustRightInd w:val="0"/>
        <w:snapToGrid w:val="0"/>
        <w:spacing w:line="580" w:lineRule="exact"/>
        <w:ind w:firstLine="640" w:firstLineChars="200"/>
        <w:rPr>
          <w:rFonts w:ascii="仿宋" w:hAnsi="仿宋" w:eastAsia="仿宋" w:cs="仿宋_GB2312"/>
          <w:bCs/>
          <w:color w:val="000000" w:themeColor="text1"/>
          <w:sz w:val="32"/>
          <w:szCs w:val="32"/>
          <w14:textFill>
            <w14:solidFill>
              <w14:schemeClr w14:val="tx1"/>
            </w14:solidFill>
          </w14:textFill>
        </w:rPr>
      </w:pPr>
      <w:r>
        <w:rPr>
          <w:rFonts w:hint="eastAsia" w:ascii="仿宋" w:hAnsi="仿宋" w:eastAsia="仿宋" w:cs="仿宋_GB2312"/>
          <w:bCs/>
          <w:sz w:val="32"/>
          <w:szCs w:val="32"/>
        </w:rPr>
        <w:t>（三）</w:t>
      </w:r>
      <w:r>
        <w:rPr>
          <w:rFonts w:ascii="仿宋" w:hAnsi="仿宋" w:eastAsia="仿宋" w:cs="仿宋_GB2312"/>
          <w:bCs/>
          <w:sz w:val="32"/>
          <w:szCs w:val="32"/>
        </w:rPr>
        <w:t>具有大学本科以上学历</w:t>
      </w:r>
      <w:r>
        <w:rPr>
          <w:rFonts w:hint="eastAsia" w:ascii="仿宋" w:hAnsi="仿宋" w:eastAsia="仿宋" w:cs="仿宋_GB2312"/>
          <w:bCs/>
          <w:sz w:val="32"/>
          <w:szCs w:val="32"/>
        </w:rPr>
        <w:t>、中级及以上职称</w:t>
      </w:r>
      <w:r>
        <w:rPr>
          <w:rFonts w:ascii="仿宋" w:hAnsi="仿宋" w:eastAsia="仿宋" w:cs="仿宋_GB2312"/>
          <w:bCs/>
          <w:sz w:val="32"/>
          <w:szCs w:val="32"/>
        </w:rPr>
        <w:t>，且连续从事中医</w:t>
      </w:r>
      <w:r>
        <w:rPr>
          <w:rFonts w:hint="eastAsia" w:ascii="仿宋" w:hAnsi="仿宋" w:eastAsia="仿宋" w:cs="仿宋_GB2312"/>
          <w:bCs/>
          <w:sz w:val="32"/>
          <w:szCs w:val="32"/>
        </w:rPr>
        <w:t>药</w:t>
      </w:r>
      <w:r>
        <w:rPr>
          <w:rFonts w:ascii="仿宋" w:hAnsi="仿宋" w:eastAsia="仿宋" w:cs="仿宋_GB2312"/>
          <w:bCs/>
          <w:sz w:val="32"/>
          <w:szCs w:val="32"/>
        </w:rPr>
        <w:t>临床、</w:t>
      </w:r>
      <w:r>
        <w:rPr>
          <w:rFonts w:hint="eastAsia" w:ascii="仿宋" w:hAnsi="仿宋" w:eastAsia="仿宋" w:cs="仿宋_GB2312"/>
          <w:bCs/>
          <w:sz w:val="32"/>
          <w:szCs w:val="32"/>
        </w:rPr>
        <w:t>科研，中药</w:t>
      </w:r>
      <w:r>
        <w:rPr>
          <w:rFonts w:hint="eastAsia" w:ascii="仿宋" w:hAnsi="仿宋" w:eastAsia="仿宋"/>
          <w:color w:val="000000"/>
          <w:sz w:val="32"/>
          <w:szCs w:val="32"/>
        </w:rPr>
        <w:t>资源保护利用、中药炮制、鉴定、传统制药工艺、制剂等相关</w:t>
      </w:r>
      <w:r>
        <w:rPr>
          <w:rFonts w:ascii="仿宋" w:hAnsi="仿宋" w:eastAsia="仿宋" w:cs="仿宋_GB2312"/>
          <w:bCs/>
          <w:sz w:val="32"/>
          <w:szCs w:val="32"/>
        </w:rPr>
        <w:t>工作6年以上，年龄不超过45周岁</w:t>
      </w:r>
      <w:r>
        <w:rPr>
          <w:rFonts w:ascii="仿宋" w:hAnsi="仿宋" w:eastAsia="仿宋" w:cs="仿宋_GB2312"/>
          <w:bCs/>
          <w:color w:val="000000" w:themeColor="text1"/>
          <w:sz w:val="32"/>
          <w:szCs w:val="32"/>
          <w14:textFill>
            <w14:solidFill>
              <w14:schemeClr w14:val="tx1"/>
            </w14:solidFill>
          </w14:textFill>
        </w:rPr>
        <w:t>（截止时间为202</w:t>
      </w:r>
      <w:r>
        <w:rPr>
          <w:rFonts w:hint="eastAsia" w:ascii="仿宋" w:hAnsi="仿宋" w:eastAsia="仿宋" w:cs="仿宋_GB2312"/>
          <w:bCs/>
          <w:color w:val="000000" w:themeColor="text1"/>
          <w:sz w:val="32"/>
          <w:szCs w:val="32"/>
          <w:lang w:val="en-US" w:eastAsia="zh-CN"/>
          <w14:textFill>
            <w14:solidFill>
              <w14:schemeClr w14:val="tx1"/>
            </w14:solidFill>
          </w14:textFill>
        </w:rPr>
        <w:t>2</w:t>
      </w:r>
      <w:r>
        <w:rPr>
          <w:rFonts w:ascii="仿宋" w:hAnsi="仿宋" w:eastAsia="仿宋" w:cs="仿宋_GB2312"/>
          <w:bCs/>
          <w:color w:val="000000" w:themeColor="text1"/>
          <w:sz w:val="32"/>
          <w:szCs w:val="32"/>
          <w14:textFill>
            <w14:solidFill>
              <w14:schemeClr w14:val="tx1"/>
            </w14:solidFill>
          </w14:textFill>
        </w:rPr>
        <w:t>年</w:t>
      </w:r>
      <w:r>
        <w:rPr>
          <w:rFonts w:hint="eastAsia" w:ascii="仿宋" w:hAnsi="仿宋" w:eastAsia="仿宋" w:cs="仿宋_GB2312"/>
          <w:bCs/>
          <w:color w:val="000000" w:themeColor="text1"/>
          <w:sz w:val="32"/>
          <w:szCs w:val="32"/>
          <w:lang w:val="en-US" w:eastAsia="zh-CN"/>
          <w14:textFill>
            <w14:solidFill>
              <w14:schemeClr w14:val="tx1"/>
            </w14:solidFill>
          </w14:textFill>
        </w:rPr>
        <w:t>3</w:t>
      </w:r>
      <w:r>
        <w:rPr>
          <w:rFonts w:ascii="仿宋" w:hAnsi="仿宋" w:eastAsia="仿宋" w:cs="仿宋_GB2312"/>
          <w:bCs/>
          <w:color w:val="000000" w:themeColor="text1"/>
          <w:sz w:val="32"/>
          <w:szCs w:val="32"/>
          <w14:textFill>
            <w14:solidFill>
              <w14:schemeClr w14:val="tx1"/>
            </w14:solidFill>
          </w14:textFill>
        </w:rPr>
        <w:t>月</w:t>
      </w:r>
      <w:r>
        <w:rPr>
          <w:rFonts w:hint="eastAsia" w:ascii="仿宋" w:hAnsi="仿宋" w:eastAsia="仿宋" w:cs="仿宋_GB2312"/>
          <w:bCs/>
          <w:color w:val="000000" w:themeColor="text1"/>
          <w:sz w:val="32"/>
          <w:szCs w:val="32"/>
          <w:lang w:val="en-US" w:eastAsia="zh-CN"/>
          <w14:textFill>
            <w14:solidFill>
              <w14:schemeClr w14:val="tx1"/>
            </w14:solidFill>
          </w14:textFill>
        </w:rPr>
        <w:t>1</w:t>
      </w:r>
      <w:r>
        <w:rPr>
          <w:rFonts w:ascii="仿宋" w:hAnsi="仿宋" w:eastAsia="仿宋" w:cs="仿宋_GB2312"/>
          <w:bCs/>
          <w:color w:val="000000" w:themeColor="text1"/>
          <w:sz w:val="32"/>
          <w:szCs w:val="32"/>
          <w14:textFill>
            <w14:solidFill>
              <w14:schemeClr w14:val="tx1"/>
            </w14:solidFill>
          </w14:textFill>
        </w:rPr>
        <w:t>日）；</w:t>
      </w:r>
    </w:p>
    <w:p>
      <w:pPr>
        <w:autoSpaceDE w:val="0"/>
        <w:autoSpaceDN w:val="0"/>
        <w:adjustRightInd w:val="0"/>
        <w:snapToGrid w:val="0"/>
        <w:spacing w:line="580" w:lineRule="exact"/>
        <w:ind w:firstLine="641"/>
        <w:rPr>
          <w:rFonts w:ascii="仿宋" w:hAnsi="仿宋" w:eastAsia="仿宋" w:cs="仿宋_GB2312"/>
          <w:bCs/>
          <w:sz w:val="32"/>
          <w:szCs w:val="32"/>
        </w:rPr>
      </w:pPr>
      <w:r>
        <w:rPr>
          <w:rFonts w:hint="eastAsia" w:ascii="仿宋" w:hAnsi="仿宋" w:eastAsia="仿宋" w:cs="仿宋_GB2312"/>
          <w:bCs/>
          <w:sz w:val="32"/>
          <w:szCs w:val="32"/>
        </w:rPr>
        <w:t>（四）</w:t>
      </w:r>
      <w:r>
        <w:rPr>
          <w:rFonts w:ascii="仿宋" w:hAnsi="仿宋" w:eastAsia="仿宋" w:cs="仿宋_GB2312"/>
          <w:bCs/>
          <w:sz w:val="32"/>
          <w:szCs w:val="32"/>
        </w:rPr>
        <w:t>思想政治素质好，职业道德高尚，身体健康，在学习与实践中有悟性和钻研精神，具有良好的培养潜能</w:t>
      </w:r>
      <w:r>
        <w:rPr>
          <w:rFonts w:hint="eastAsia" w:ascii="仿宋" w:hAnsi="仿宋" w:eastAsia="仿宋" w:cs="仿宋_GB2312"/>
          <w:bCs/>
          <w:sz w:val="32"/>
          <w:szCs w:val="32"/>
        </w:rPr>
        <w:t>；</w:t>
      </w:r>
    </w:p>
    <w:p>
      <w:pPr>
        <w:autoSpaceDE w:val="0"/>
        <w:autoSpaceDN w:val="0"/>
        <w:adjustRightInd w:val="0"/>
        <w:snapToGrid w:val="0"/>
        <w:spacing w:line="580" w:lineRule="exact"/>
        <w:ind w:firstLine="641"/>
        <w:rPr>
          <w:rFonts w:hint="eastAsia" w:ascii="仿宋" w:hAnsi="仿宋" w:eastAsia="仿宋" w:cs="仿宋_GB2312"/>
          <w:bCs/>
          <w:sz w:val="32"/>
          <w:szCs w:val="32"/>
          <w:lang w:val="en" w:eastAsia="zh-CN"/>
        </w:rPr>
      </w:pPr>
      <w:r>
        <w:rPr>
          <w:rFonts w:hint="eastAsia" w:ascii="仿宋" w:hAnsi="仿宋" w:eastAsia="仿宋"/>
          <w:color w:val="000000"/>
          <w:sz w:val="32"/>
          <w:szCs w:val="32"/>
        </w:rPr>
        <w:t>（五）</w:t>
      </w:r>
      <w:r>
        <w:rPr>
          <w:rFonts w:hint="eastAsia" w:ascii="仿宋" w:hAnsi="仿宋" w:eastAsia="仿宋" w:cs="Times New Roman"/>
          <w:bCs/>
          <w:kern w:val="0"/>
          <w:sz w:val="32"/>
          <w:szCs w:val="32"/>
        </w:rPr>
        <w:t>中医药理论基础扎实，</w:t>
      </w:r>
      <w:r>
        <w:rPr>
          <w:rFonts w:ascii="仿宋" w:hAnsi="仿宋" w:eastAsia="仿宋"/>
          <w:color w:val="000000"/>
          <w:sz w:val="32"/>
          <w:szCs w:val="32"/>
        </w:rPr>
        <w:t>有一定学术成就，学术思想或技术经验有一定特色</w:t>
      </w:r>
      <w:r>
        <w:rPr>
          <w:rFonts w:hint="eastAsia" w:ascii="仿宋" w:hAnsi="仿宋" w:eastAsia="仿宋"/>
          <w:color w:val="000000"/>
          <w:sz w:val="32"/>
          <w:szCs w:val="32"/>
          <w:lang w:eastAsia="zh-CN"/>
        </w:rPr>
        <w:t>。</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三、遴选原则</w:t>
      </w:r>
    </w:p>
    <w:p>
      <w:pPr>
        <w:autoSpaceDE w:val="0"/>
        <w:autoSpaceDN w:val="0"/>
        <w:adjustRightInd w:val="0"/>
        <w:snapToGrid w:val="0"/>
        <w:spacing w:line="580" w:lineRule="exact"/>
        <w:ind w:firstLine="641"/>
        <w:rPr>
          <w:rFonts w:ascii="仿宋" w:hAnsi="仿宋" w:eastAsia="仿宋" w:cs="仿宋_GB2312"/>
          <w:bCs/>
          <w:sz w:val="32"/>
          <w:szCs w:val="32"/>
        </w:rPr>
      </w:pPr>
      <w:r>
        <w:rPr>
          <w:rFonts w:ascii="仿宋" w:hAnsi="仿宋" w:eastAsia="仿宋" w:cs="仿宋_GB2312"/>
          <w:bCs/>
          <w:sz w:val="32"/>
          <w:szCs w:val="32"/>
        </w:rPr>
        <w:t>遵循公开、公平、公正</w:t>
      </w:r>
      <w:r>
        <w:rPr>
          <w:rFonts w:hint="eastAsia" w:ascii="仿宋" w:hAnsi="仿宋" w:eastAsia="仿宋" w:cs="仿宋_GB2312"/>
          <w:bCs/>
          <w:sz w:val="32"/>
          <w:szCs w:val="32"/>
          <w:lang w:eastAsia="zh-CN"/>
        </w:rPr>
        <w:t>的原则</w:t>
      </w:r>
      <w:r>
        <w:rPr>
          <w:rFonts w:hint="eastAsia" w:ascii="仿宋" w:hAnsi="仿宋" w:eastAsia="仿宋" w:cs="仿宋_GB2312"/>
          <w:bCs/>
          <w:sz w:val="32"/>
          <w:szCs w:val="32"/>
        </w:rPr>
        <w:t>；</w:t>
      </w:r>
      <w:r>
        <w:rPr>
          <w:rFonts w:ascii="仿宋" w:hAnsi="仿宋" w:eastAsia="仿宋" w:cs="仿宋_GB2312"/>
          <w:bCs/>
          <w:sz w:val="32"/>
          <w:szCs w:val="32"/>
        </w:rPr>
        <w:t>自下而上</w:t>
      </w:r>
      <w:r>
        <w:rPr>
          <w:rFonts w:hint="eastAsia" w:ascii="仿宋" w:hAnsi="仿宋" w:eastAsia="仿宋" w:cs="仿宋_GB2312"/>
          <w:bCs/>
          <w:sz w:val="32"/>
          <w:szCs w:val="32"/>
        </w:rPr>
        <w:t>、</w:t>
      </w:r>
      <w:r>
        <w:rPr>
          <w:rFonts w:ascii="仿宋" w:hAnsi="仿宋" w:eastAsia="仿宋" w:cs="仿宋_GB2312"/>
          <w:bCs/>
          <w:sz w:val="32"/>
          <w:szCs w:val="32"/>
        </w:rPr>
        <w:t>逐级推荐</w:t>
      </w:r>
      <w:r>
        <w:rPr>
          <w:rFonts w:hint="eastAsia" w:ascii="仿宋" w:hAnsi="仿宋" w:eastAsia="仿宋" w:cs="仿宋_GB2312"/>
          <w:bCs/>
          <w:sz w:val="32"/>
          <w:szCs w:val="32"/>
        </w:rPr>
        <w:t>、</w:t>
      </w:r>
      <w:r>
        <w:rPr>
          <w:rFonts w:ascii="仿宋" w:hAnsi="仿宋" w:eastAsia="仿宋" w:cs="仿宋_GB2312"/>
          <w:bCs/>
          <w:sz w:val="32"/>
          <w:szCs w:val="32"/>
        </w:rPr>
        <w:t>择优录取</w:t>
      </w:r>
      <w:r>
        <w:rPr>
          <w:rFonts w:hint="eastAsia" w:ascii="仿宋" w:hAnsi="仿宋" w:eastAsia="仿宋" w:cs="仿宋_GB2312"/>
          <w:bCs/>
          <w:sz w:val="32"/>
          <w:szCs w:val="32"/>
        </w:rPr>
        <w:t>；侧重基层中医药人才和紧缺专业人才培养。</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四、遴选程序</w:t>
      </w:r>
    </w:p>
    <w:p>
      <w:pPr>
        <w:autoSpaceDE w:val="0"/>
        <w:autoSpaceDN w:val="0"/>
        <w:adjustRightInd w:val="0"/>
        <w:snapToGrid w:val="0"/>
        <w:spacing w:line="580" w:lineRule="exact"/>
        <w:ind w:firstLine="641"/>
        <w:rPr>
          <w:rFonts w:ascii="仿宋" w:hAnsi="仿宋" w:eastAsia="仿宋" w:cs="仿宋_GB2312"/>
          <w:bCs/>
          <w:sz w:val="32"/>
          <w:szCs w:val="32"/>
        </w:rPr>
      </w:pPr>
      <w:r>
        <w:rPr>
          <w:rFonts w:ascii="仿宋" w:hAnsi="仿宋" w:eastAsia="仿宋" w:cs="仿宋_GB2312"/>
          <w:bCs/>
          <w:sz w:val="32"/>
          <w:szCs w:val="32"/>
        </w:rPr>
        <w:t>设区市卫生健康委负责辖区内人选的推荐工作，江西中医药大学负责本单位及附属医疗机构人选的推荐工作，</w:t>
      </w:r>
      <w:r>
        <w:rPr>
          <w:rFonts w:hint="eastAsia" w:ascii="仿宋" w:hAnsi="仿宋" w:eastAsia="仿宋" w:cs="仿宋_GB2312"/>
          <w:bCs/>
          <w:sz w:val="32"/>
          <w:szCs w:val="32"/>
        </w:rPr>
        <w:t>省中医药研究院负责本单位的人选推荐，</w:t>
      </w:r>
      <w:r>
        <w:rPr>
          <w:rFonts w:ascii="仿宋" w:hAnsi="仿宋" w:eastAsia="仿宋" w:cs="仿宋_GB2312"/>
          <w:bCs/>
          <w:sz w:val="32"/>
          <w:szCs w:val="32"/>
        </w:rPr>
        <w:t>省中医药学会、省中西医结合学会、省针灸学会负责中央及省属企业、省直非中医药机构人选的组织推荐工作。</w:t>
      </w:r>
      <w:r>
        <w:rPr>
          <w:rFonts w:hint="eastAsia" w:ascii="仿宋" w:hAnsi="仿宋" w:eastAsia="仿宋" w:cs="仿宋_GB2312"/>
          <w:bCs/>
          <w:sz w:val="32"/>
          <w:szCs w:val="32"/>
        </w:rPr>
        <w:t>我</w:t>
      </w:r>
      <w:r>
        <w:rPr>
          <w:rFonts w:ascii="仿宋" w:hAnsi="仿宋" w:eastAsia="仿宋" w:cs="仿宋_GB2312"/>
          <w:bCs/>
          <w:sz w:val="32"/>
          <w:szCs w:val="32"/>
        </w:rPr>
        <w:t>局负责组织全省的遴选工作。</w:t>
      </w:r>
    </w:p>
    <w:p>
      <w:pPr>
        <w:autoSpaceDE w:val="0"/>
        <w:autoSpaceDN w:val="0"/>
        <w:adjustRightInd w:val="0"/>
        <w:snapToGrid w:val="0"/>
        <w:spacing w:line="580" w:lineRule="exact"/>
        <w:ind w:firstLine="641"/>
        <w:rPr>
          <w:rFonts w:ascii="仿宋" w:hAnsi="仿宋" w:eastAsia="仿宋" w:cs="仿宋_GB2312"/>
          <w:bCs/>
          <w:sz w:val="32"/>
          <w:szCs w:val="32"/>
        </w:rPr>
      </w:pPr>
      <w:r>
        <w:rPr>
          <w:rFonts w:ascii="仿宋" w:hAnsi="仿宋" w:eastAsia="仿宋" w:cs="仿宋_GB2312"/>
          <w:bCs/>
          <w:sz w:val="32"/>
          <w:szCs w:val="32"/>
        </w:rPr>
        <w:t>(一)个人申请。符合条件的中医药专业技术人员</w:t>
      </w:r>
      <w:r>
        <w:rPr>
          <w:rFonts w:hint="eastAsia" w:ascii="仿宋" w:hAnsi="仿宋" w:eastAsia="仿宋" w:cs="仿宋_GB2312"/>
          <w:bCs/>
          <w:color w:val="auto"/>
          <w:sz w:val="32"/>
          <w:szCs w:val="32"/>
          <w:lang w:eastAsia="zh-CN"/>
        </w:rPr>
        <w:t>自愿</w:t>
      </w:r>
      <w:r>
        <w:rPr>
          <w:rFonts w:ascii="仿宋" w:hAnsi="仿宋" w:eastAsia="仿宋" w:cs="仿宋_GB2312"/>
          <w:bCs/>
          <w:sz w:val="32"/>
          <w:szCs w:val="32"/>
        </w:rPr>
        <w:t>向所在单位提出申请，并提供相关的证明材料。</w:t>
      </w:r>
    </w:p>
    <w:p>
      <w:pPr>
        <w:autoSpaceDE w:val="0"/>
        <w:autoSpaceDN w:val="0"/>
        <w:adjustRightInd w:val="0"/>
        <w:snapToGrid w:val="0"/>
        <w:spacing w:line="580" w:lineRule="exact"/>
        <w:ind w:firstLine="641"/>
        <w:rPr>
          <w:rFonts w:ascii="仿宋" w:hAnsi="仿宋" w:eastAsia="仿宋" w:cs="仿宋_GB2312"/>
          <w:bCs/>
          <w:sz w:val="32"/>
          <w:szCs w:val="32"/>
        </w:rPr>
      </w:pPr>
      <w:r>
        <w:rPr>
          <w:rFonts w:hint="eastAsia" w:ascii="仿宋" w:hAnsi="仿宋" w:eastAsia="仿宋" w:cs="仿宋_GB2312"/>
          <w:bCs/>
          <w:sz w:val="32"/>
          <w:szCs w:val="32"/>
        </w:rPr>
        <w:t>（二）</w:t>
      </w:r>
      <w:r>
        <w:rPr>
          <w:rFonts w:ascii="仿宋" w:hAnsi="仿宋" w:eastAsia="仿宋" w:cs="仿宋_GB2312"/>
          <w:bCs/>
          <w:sz w:val="32"/>
          <w:szCs w:val="32"/>
        </w:rPr>
        <w:t>组织推荐。各单位组织符合条件的中医药专业技术员进行申报，拟申报人员由所在单位根据选拔条件组织审核，集体研究决定，在本单位公示后报所属推荐单位。负责推荐工作的单位对收到的申报材料进行初评，评选出推荐人选，经公示无异议后将推荐材料报送我局。</w:t>
      </w:r>
    </w:p>
    <w:p>
      <w:pPr>
        <w:autoSpaceDE w:val="0"/>
        <w:autoSpaceDN w:val="0"/>
        <w:adjustRightInd w:val="0"/>
        <w:snapToGrid w:val="0"/>
        <w:spacing w:line="580" w:lineRule="exact"/>
        <w:ind w:firstLine="641"/>
        <w:rPr>
          <w:rFonts w:ascii="仿宋" w:hAnsi="仿宋" w:eastAsia="仿宋" w:cs="仿宋_GB2312"/>
          <w:bCs/>
          <w:sz w:val="32"/>
          <w:szCs w:val="32"/>
        </w:rPr>
      </w:pPr>
      <w:r>
        <w:rPr>
          <w:rFonts w:ascii="仿宋" w:hAnsi="仿宋" w:eastAsia="仿宋" w:cs="仿宋_GB2312"/>
          <w:bCs/>
          <w:sz w:val="32"/>
          <w:szCs w:val="32"/>
        </w:rPr>
        <w:t>(三)资格审查。省中医药管理局对推荐单位上报推荐人选的申请材料进行资格审查，审查合格者进入专家评审。</w:t>
      </w:r>
    </w:p>
    <w:p>
      <w:pPr>
        <w:autoSpaceDE w:val="0"/>
        <w:autoSpaceDN w:val="0"/>
        <w:adjustRightInd w:val="0"/>
        <w:snapToGrid w:val="0"/>
        <w:spacing w:line="580" w:lineRule="exact"/>
        <w:ind w:firstLine="641"/>
        <w:rPr>
          <w:rFonts w:ascii="仿宋" w:hAnsi="仿宋" w:eastAsia="仿宋" w:cs="仿宋_GB2312"/>
          <w:bCs/>
          <w:sz w:val="32"/>
          <w:szCs w:val="32"/>
        </w:rPr>
      </w:pPr>
      <w:r>
        <w:rPr>
          <w:rFonts w:hint="eastAsia" w:ascii="仿宋" w:hAnsi="仿宋" w:eastAsia="仿宋" w:cs="仿宋_GB2312"/>
          <w:bCs/>
          <w:sz w:val="32"/>
          <w:szCs w:val="32"/>
        </w:rPr>
        <w:t>（四）</w:t>
      </w:r>
      <w:r>
        <w:rPr>
          <w:rFonts w:ascii="仿宋" w:hAnsi="仿宋" w:eastAsia="仿宋" w:cs="仿宋_GB2312"/>
          <w:bCs/>
          <w:sz w:val="32"/>
          <w:szCs w:val="32"/>
        </w:rPr>
        <w:t>专家评审。省中医药管理局组织专家按照遴选条件，</w:t>
      </w:r>
      <w:r>
        <w:rPr>
          <w:rFonts w:hint="eastAsia" w:ascii="仿宋" w:hAnsi="仿宋" w:eastAsia="仿宋" w:cs="仿宋_GB2312"/>
          <w:bCs/>
          <w:sz w:val="32"/>
          <w:szCs w:val="32"/>
        </w:rPr>
        <w:t>对推荐人选的资格及推荐材料进行综合审核和评比，从推荐人选中选出候选人进行公示，结合公示反馈信息，最终确定培养对象名单并予以公布。</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五、培养内容、方式</w:t>
      </w:r>
    </w:p>
    <w:p>
      <w:pPr>
        <w:autoSpaceDE w:val="0"/>
        <w:autoSpaceDN w:val="0"/>
        <w:spacing w:line="58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江西省中医药中青年骨干人才培养计划以强化中医</w:t>
      </w:r>
      <w:r>
        <w:rPr>
          <w:rFonts w:ascii="仿宋" w:hAnsi="仿宋" w:eastAsia="仿宋"/>
          <w:color w:val="000000"/>
          <w:sz w:val="32"/>
          <w:szCs w:val="32"/>
        </w:rPr>
        <w:t>思维</w:t>
      </w:r>
      <w:r>
        <w:rPr>
          <w:rFonts w:hint="eastAsia" w:ascii="仿宋" w:hAnsi="仿宋" w:eastAsia="仿宋"/>
          <w:color w:val="000000"/>
          <w:sz w:val="32"/>
          <w:szCs w:val="32"/>
        </w:rPr>
        <w:t>，注重实践应用、加强学术传承、提高创新能力为主要内容。根据</w:t>
      </w:r>
      <w:r>
        <w:rPr>
          <w:rFonts w:ascii="仿宋" w:hAnsi="仿宋" w:eastAsia="仿宋"/>
          <w:color w:val="000000"/>
          <w:sz w:val="32"/>
          <w:szCs w:val="32"/>
        </w:rPr>
        <w:t>培养对象</w:t>
      </w:r>
      <w:r>
        <w:rPr>
          <w:rFonts w:hint="eastAsia" w:ascii="仿宋" w:hAnsi="仿宋" w:eastAsia="仿宋"/>
          <w:color w:val="000000"/>
          <w:sz w:val="32"/>
          <w:szCs w:val="32"/>
        </w:rPr>
        <w:t>不同专业特点和条件，确定各具特色的学习内容。</w:t>
      </w:r>
      <w:r>
        <w:rPr>
          <w:rFonts w:ascii="仿宋" w:hAnsi="仿宋" w:eastAsia="仿宋"/>
          <w:color w:val="000000"/>
          <w:sz w:val="32"/>
          <w:szCs w:val="32"/>
        </w:rPr>
        <w:t>重点</w:t>
      </w:r>
      <w:r>
        <w:rPr>
          <w:rFonts w:hint="eastAsia" w:ascii="仿宋" w:hAnsi="仿宋" w:eastAsia="仿宋"/>
          <w:color w:val="000000"/>
          <w:sz w:val="32"/>
          <w:szCs w:val="32"/>
        </w:rPr>
        <w:t>加强重大疑难疾病中医药（</w:t>
      </w:r>
      <w:r>
        <w:rPr>
          <w:rFonts w:ascii="仿宋" w:hAnsi="仿宋" w:eastAsia="仿宋"/>
          <w:color w:val="000000"/>
          <w:sz w:val="32"/>
          <w:szCs w:val="32"/>
        </w:rPr>
        <w:t>中西医结合</w:t>
      </w:r>
      <w:r>
        <w:rPr>
          <w:rFonts w:hint="eastAsia" w:ascii="仿宋" w:hAnsi="仿宋" w:eastAsia="仿宋"/>
          <w:color w:val="000000"/>
          <w:sz w:val="32"/>
          <w:szCs w:val="32"/>
        </w:rPr>
        <w:t>）防治研究、中药优势特色技术、名老中医药</w:t>
      </w:r>
      <w:r>
        <w:rPr>
          <w:rFonts w:ascii="仿宋" w:hAnsi="仿宋" w:eastAsia="仿宋"/>
          <w:color w:val="000000"/>
          <w:sz w:val="32"/>
          <w:szCs w:val="32"/>
        </w:rPr>
        <w:t>专家学术经验传承与创新</w:t>
      </w:r>
      <w:r>
        <w:rPr>
          <w:rFonts w:hint="eastAsia" w:ascii="仿宋" w:hAnsi="仿宋" w:eastAsia="仿宋"/>
          <w:color w:val="000000"/>
          <w:sz w:val="32"/>
          <w:szCs w:val="32"/>
        </w:rPr>
        <w:t>、中药生产的关键技术及装备的研制等内容</w:t>
      </w:r>
      <w:r>
        <w:rPr>
          <w:rFonts w:ascii="仿宋" w:hAnsi="仿宋" w:eastAsia="仿宋"/>
          <w:color w:val="000000"/>
          <w:sz w:val="32"/>
          <w:szCs w:val="32"/>
        </w:rPr>
        <w:t>的学习。</w:t>
      </w:r>
    </w:p>
    <w:p>
      <w:pPr>
        <w:autoSpaceDE w:val="0"/>
        <w:autoSpaceDN w:val="0"/>
        <w:spacing w:line="58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（一）强化中医</w:t>
      </w:r>
      <w:r>
        <w:rPr>
          <w:rFonts w:ascii="仿宋" w:hAnsi="仿宋" w:eastAsia="仿宋" w:cs="Times New Roman"/>
          <w:b/>
          <w:sz w:val="32"/>
          <w:szCs w:val="32"/>
        </w:rPr>
        <w:t>思维</w:t>
      </w:r>
      <w:r>
        <w:rPr>
          <w:rFonts w:hint="eastAsia" w:ascii="仿宋" w:hAnsi="仿宋" w:eastAsia="仿宋" w:cs="Times New Roman"/>
          <w:b/>
          <w:sz w:val="32"/>
          <w:szCs w:val="32"/>
        </w:rPr>
        <w:t>——研习中医药经典理论。</w:t>
      </w:r>
    </w:p>
    <w:p>
      <w:pPr>
        <w:autoSpaceDE w:val="0"/>
        <w:autoSpaceDN w:val="0"/>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1.内容。培养对象精读中医药经典著作，泛读相关的中医药古籍和中国传统文化丛书，深入了解中国传统文化，夯实中医药理论基础，掌握中医药经典著作理论精髓，提高中医药理论水平。</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2.方式。以自学为主、集中学习为辅。培养对象制定读书计划，在指定的中医药医籍书目（</w:t>
      </w:r>
      <w:r>
        <w:rPr>
          <w:rFonts w:hint="eastAsia" w:ascii="仿宋" w:hAnsi="仿宋" w:eastAsia="仿宋" w:cs="Times New Roman"/>
          <w:sz w:val="32"/>
          <w:szCs w:val="32"/>
          <w:lang w:eastAsia="zh-CN"/>
        </w:rPr>
        <w:t>见</w:t>
      </w:r>
      <w:r>
        <w:rPr>
          <w:rFonts w:hint="eastAsia" w:ascii="仿宋" w:hAnsi="仿宋" w:eastAsia="仿宋" w:cs="Times New Roman"/>
          <w:sz w:val="32"/>
          <w:szCs w:val="32"/>
        </w:rPr>
        <w:t>附件）中选择精读</w:t>
      </w:r>
      <w:r>
        <w:rPr>
          <w:rFonts w:hint="default" w:ascii="仿宋" w:hAnsi="仿宋" w:eastAsia="仿宋" w:cs="Times New Roman"/>
          <w:color w:val="auto"/>
          <w:sz w:val="32"/>
          <w:szCs w:val="32"/>
          <w:lang w:val="en"/>
        </w:rPr>
        <w:t>1本</w:t>
      </w:r>
      <w:r>
        <w:rPr>
          <w:rFonts w:hint="eastAsia" w:ascii="仿宋" w:hAnsi="仿宋" w:eastAsia="仿宋" w:cs="Times New Roman"/>
          <w:sz w:val="32"/>
          <w:szCs w:val="32"/>
        </w:rPr>
        <w:t>中医药经典著作和泛读2部以上中医药古籍、中国传统文化丛书，做好读书笔记，撰写学习体会。省中医药管理局科教处组织开展以中医药四大经典、国医大师和名老中医药专家学术经验为主要内容的中医药理论集中培训。</w:t>
      </w:r>
    </w:p>
    <w:p>
      <w:pPr>
        <w:autoSpaceDE w:val="0"/>
        <w:autoSpaceDN w:val="0"/>
        <w:adjustRightInd w:val="0"/>
        <w:snapToGrid w:val="0"/>
        <w:spacing w:line="580" w:lineRule="exact"/>
        <w:ind w:firstLine="641"/>
        <w:rPr>
          <w:rFonts w:ascii="仿宋" w:hAnsi="仿宋" w:eastAsia="仿宋" w:cs="Times New Roman"/>
          <w:b/>
          <w:sz w:val="32"/>
          <w:szCs w:val="32"/>
        </w:rPr>
      </w:pPr>
      <w:r>
        <w:rPr>
          <w:rFonts w:hint="eastAsia" w:ascii="仿宋" w:hAnsi="仿宋" w:eastAsia="仿宋" w:cs="Times New Roman"/>
          <w:b/>
          <w:sz w:val="32"/>
          <w:szCs w:val="32"/>
        </w:rPr>
        <w:t>（二）注重实践应用——提升中医药技术水平。</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1.内容。培养对象结合现有岗位进行实践应用，总结名老中医药专家的学术思想和临证经验，将学习中医药经典理论的成果，应用于本单位实践工作中，提高临床疗效，提升技术水平，强化中医思维和实践能力。</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2.方式。在本单位开展临床应用和科研实践；在2个以上的国医大师、全国名老中医药专家或中医学术流派传承工作室、省国医名师工作室或省名中医工作室，2个以上国家级、省级重点学科（专科）医疗机构、GAP基地、中药（饮片）生产企业中游学实践。</w:t>
      </w:r>
      <w:r>
        <w:rPr>
          <w:rFonts w:ascii="仿宋" w:hAnsi="仿宋" w:eastAsia="仿宋" w:cs="Times New Roman"/>
          <w:sz w:val="32"/>
          <w:szCs w:val="32"/>
        </w:rPr>
        <w:t xml:space="preserve"> </w:t>
      </w:r>
    </w:p>
    <w:p>
      <w:pPr>
        <w:autoSpaceDE w:val="0"/>
        <w:autoSpaceDN w:val="0"/>
        <w:adjustRightInd w:val="0"/>
        <w:snapToGrid w:val="0"/>
        <w:spacing w:line="58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（三）加强学术传承——传承名师学术经验。</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1.内容。拜1位以上国医大师、全国名中医、全国老中医药专家学术经验继承工作指导老师、全国中医学术流派传承工作室代表性传承人、全国优秀中医临床人才、江西省国医名师、省名中医为师，学习名老中医药专家医德医风，领悟和继承其学术思想及临证精华。</w:t>
      </w:r>
    </w:p>
    <w:p>
      <w:pPr>
        <w:autoSpaceDE w:val="0"/>
        <w:autoSpaceDN w:val="0"/>
        <w:adjustRightInd w:val="0"/>
        <w:snapToGrid w:val="0"/>
        <w:spacing w:line="580" w:lineRule="exact"/>
        <w:ind w:firstLine="641"/>
        <w:rPr>
          <w:rFonts w:ascii="仿宋" w:hAnsi="仿宋" w:eastAsia="仿宋" w:cs="Times New Roman"/>
          <w:color w:val="FF0000"/>
          <w:sz w:val="32"/>
          <w:szCs w:val="32"/>
        </w:rPr>
      </w:pPr>
      <w:r>
        <w:rPr>
          <w:rFonts w:hint="eastAsia" w:ascii="仿宋" w:hAnsi="仿宋" w:eastAsia="仿宋" w:cs="Times New Roman"/>
          <w:sz w:val="32"/>
          <w:szCs w:val="32"/>
        </w:rPr>
        <w:t>2.方式。培养对象通过跟师学习为主、结合访谈、学术交流等多种形式接受名师指导。省中医药管理局科教处综合协调，对培养对象进行全程指导。</w:t>
      </w:r>
    </w:p>
    <w:p>
      <w:pPr>
        <w:autoSpaceDE w:val="0"/>
        <w:autoSpaceDN w:val="0"/>
        <w:spacing w:line="58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（四）提高创新能力——促进运用创新发展。</w:t>
      </w:r>
    </w:p>
    <w:p>
      <w:pPr>
        <w:autoSpaceDE w:val="0"/>
        <w:autoSpaceDN w:val="0"/>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1.内容。培养对象熟悉掌握科研方法和其它相关知识，提升多学科知识综合运用能力和利用现代科学技术促进中医药创造性转化、创新性发展的能力。积极推动解决本专业领域发展中面临的临床或科研难题。</w:t>
      </w:r>
    </w:p>
    <w:p>
      <w:pPr>
        <w:autoSpaceDE w:val="0"/>
        <w:autoSpaceDN w:val="0"/>
        <w:adjustRightInd w:val="0"/>
        <w:snapToGrid w:val="0"/>
        <w:spacing w:line="580" w:lineRule="exact"/>
        <w:ind w:firstLine="641"/>
        <w:rPr>
          <w:rFonts w:ascii="仿宋" w:hAnsi="仿宋" w:eastAsia="仿宋" w:cs="Times New Roman"/>
          <w:color w:val="FF0000"/>
          <w:sz w:val="32"/>
          <w:szCs w:val="32"/>
        </w:rPr>
      </w:pPr>
      <w:r>
        <w:rPr>
          <w:rFonts w:hint="eastAsia" w:ascii="仿宋" w:hAnsi="仿宋" w:eastAsia="仿宋" w:cs="Times New Roman"/>
          <w:sz w:val="32"/>
          <w:szCs w:val="32"/>
        </w:rPr>
        <w:t>2.方式。鼓励培养对象</w:t>
      </w:r>
      <w:r>
        <w:rPr>
          <w:rFonts w:ascii="仿宋" w:hAnsi="仿宋" w:eastAsia="仿宋" w:cs="Times New Roman"/>
          <w:sz w:val="32"/>
          <w:szCs w:val="32"/>
        </w:rPr>
        <w:t>跨专业、跨学科学习</w:t>
      </w:r>
      <w:r>
        <w:rPr>
          <w:rFonts w:hint="eastAsia" w:ascii="仿宋" w:hAnsi="仿宋" w:eastAsia="仿宋" w:cs="Times New Roman"/>
          <w:sz w:val="32"/>
          <w:szCs w:val="32"/>
        </w:rPr>
        <w:t>，通过交流研讨，</w:t>
      </w:r>
      <w:r>
        <w:rPr>
          <w:rFonts w:ascii="仿宋" w:hAnsi="仿宋" w:eastAsia="仿宋" w:cs="Times New Roman"/>
          <w:sz w:val="32"/>
          <w:szCs w:val="32"/>
        </w:rPr>
        <w:t>掌握</w:t>
      </w:r>
      <w:r>
        <w:rPr>
          <w:rFonts w:hint="eastAsia" w:ascii="仿宋" w:hAnsi="仿宋" w:eastAsia="仿宋" w:cs="Times New Roman"/>
          <w:sz w:val="32"/>
          <w:szCs w:val="32"/>
        </w:rPr>
        <w:t>临床诊治、中医药</w:t>
      </w:r>
      <w:r>
        <w:rPr>
          <w:rFonts w:ascii="仿宋" w:hAnsi="仿宋" w:eastAsia="仿宋" w:cs="Times New Roman"/>
          <w:sz w:val="32"/>
          <w:szCs w:val="32"/>
        </w:rPr>
        <w:t>研究进展及</w:t>
      </w:r>
      <w:r>
        <w:rPr>
          <w:rFonts w:hint="eastAsia" w:ascii="仿宋" w:hAnsi="仿宋" w:eastAsia="仿宋" w:cs="Times New Roman"/>
          <w:sz w:val="32"/>
          <w:szCs w:val="32"/>
        </w:rPr>
        <w:t>现代科学前沿进展；通过考察调研，增长</w:t>
      </w:r>
      <w:r>
        <w:rPr>
          <w:rFonts w:ascii="仿宋" w:hAnsi="仿宋" w:eastAsia="仿宋" w:cs="Times New Roman"/>
          <w:sz w:val="32"/>
          <w:szCs w:val="32"/>
        </w:rPr>
        <w:t>见识，</w:t>
      </w:r>
      <w:r>
        <w:rPr>
          <w:rFonts w:hint="eastAsia" w:ascii="仿宋" w:hAnsi="仿宋" w:eastAsia="仿宋" w:cs="Times New Roman"/>
          <w:sz w:val="32"/>
          <w:szCs w:val="32"/>
        </w:rPr>
        <w:t>开拓中医药创新思路；通过自主结对的方式，开展多学科交叉研究。</w:t>
      </w:r>
      <w:r>
        <w:rPr>
          <w:rFonts w:ascii="仿宋" w:hAnsi="仿宋" w:eastAsia="仿宋" w:cs="Times New Roman"/>
          <w:color w:val="FF0000"/>
          <w:sz w:val="32"/>
          <w:szCs w:val="32"/>
        </w:rPr>
        <w:t xml:space="preserve"> </w:t>
      </w:r>
    </w:p>
    <w:p>
      <w:pPr>
        <w:autoSpaceDE w:val="0"/>
        <w:autoSpaceDN w:val="0"/>
        <w:adjustRightInd w:val="0"/>
        <w:snapToGrid w:val="0"/>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六、培养任务</w:t>
      </w:r>
    </w:p>
    <w:p>
      <w:pPr>
        <w:autoSpaceDE w:val="0"/>
        <w:autoSpaceDN w:val="0"/>
        <w:adjustRightInd w:val="0"/>
        <w:snapToGrid w:val="0"/>
        <w:spacing w:line="580" w:lineRule="exact"/>
        <w:ind w:firstLine="643" w:firstLineChars="200"/>
        <w:rPr>
          <w:rFonts w:ascii="仿宋" w:hAnsi="仿宋" w:eastAsia="仿宋" w:cs="Times New Roman"/>
          <w:color w:val="FF0000"/>
          <w:sz w:val="32"/>
          <w:szCs w:val="32"/>
        </w:rPr>
      </w:pPr>
      <w:r>
        <w:rPr>
          <w:rFonts w:hint="eastAsia" w:ascii="仿宋" w:hAnsi="仿宋" w:eastAsia="仿宋" w:cs="Times New Roman"/>
          <w:b/>
          <w:sz w:val="32"/>
          <w:szCs w:val="32"/>
        </w:rPr>
        <w:t>（一）中医药临床方向：</w:t>
      </w:r>
      <w:r>
        <w:rPr>
          <w:rFonts w:hint="eastAsia" w:ascii="仿宋" w:hAnsi="仿宋" w:eastAsia="仿宋" w:cs="Times New Roman"/>
          <w:sz w:val="32"/>
          <w:szCs w:val="32"/>
        </w:rPr>
        <w:t>培养期间至少参加40天的中医药经典理论集中学习，游学和临床实践累计不少于60个工作日，结合理论学习和临床实践，撰写心得笔记。每年完成10份体现本学科方向的临床医案（中药使用分析），在国内外公开发行的期刊（具有国际标准刊号ISSN和国内统一刊号CN）发表不少于1篇反映本人临床水平的论文；每年撰写4篇以上中医药经典著作学习心得，整理跟师临证典型医案，每年</w:t>
      </w:r>
      <w:r>
        <w:rPr>
          <w:rFonts w:ascii="仿宋" w:hAnsi="仿宋" w:eastAsia="仿宋" w:cs="Times New Roman"/>
          <w:sz w:val="32"/>
          <w:szCs w:val="32"/>
        </w:rPr>
        <w:t>提交</w:t>
      </w:r>
      <w:r>
        <w:rPr>
          <w:rFonts w:hint="eastAsia" w:ascii="仿宋" w:hAnsi="仿宋" w:eastAsia="仿宋" w:cs="Times New Roman"/>
          <w:sz w:val="32"/>
          <w:szCs w:val="32"/>
        </w:rPr>
        <w:t>不少于2篇反映指导老师学术思想和临床经验的综合报告；培养周期内申报立项厅局级以上科研课题1项；完成1篇5000字以上的结业论文。</w:t>
      </w:r>
    </w:p>
    <w:p>
      <w:pPr>
        <w:autoSpaceDE w:val="0"/>
        <w:autoSpaceDN w:val="0"/>
        <w:adjustRightInd w:val="0"/>
        <w:snapToGrid w:val="0"/>
        <w:spacing w:line="58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（二）中医药科研方向：</w:t>
      </w:r>
      <w:r>
        <w:rPr>
          <w:rFonts w:hint="eastAsia" w:ascii="仿宋" w:hAnsi="仿宋" w:eastAsia="仿宋" w:cs="Times New Roman"/>
          <w:sz w:val="32"/>
          <w:szCs w:val="32"/>
        </w:rPr>
        <w:t>培养期间至少参加40天的中医药经典理论集中学习，游学和临床实践累计不少于60个工作日，培养对象确定1-2个研究方向开展科学研究，并提交开题报告。每年完成1份以上体现本学科方向前沿进展的综合报告；每年至少提交中医药典籍读书笔记6篇，并在培养周期申报立项省级以上科研课题或省中医药管理局重点课题1项；每年</w:t>
      </w:r>
      <w:r>
        <w:rPr>
          <w:rFonts w:ascii="仿宋" w:hAnsi="仿宋" w:eastAsia="仿宋" w:cs="Times New Roman"/>
          <w:sz w:val="32"/>
          <w:szCs w:val="32"/>
        </w:rPr>
        <w:t>提交</w:t>
      </w:r>
      <w:r>
        <w:rPr>
          <w:rFonts w:hint="eastAsia" w:ascii="仿宋" w:hAnsi="仿宋" w:eastAsia="仿宋" w:cs="Times New Roman"/>
          <w:sz w:val="32"/>
          <w:szCs w:val="32"/>
        </w:rPr>
        <w:t>不少于4篇</w:t>
      </w:r>
      <w:r>
        <w:rPr>
          <w:rFonts w:ascii="仿宋" w:hAnsi="仿宋" w:eastAsia="仿宋" w:cs="Times New Roman"/>
          <w:sz w:val="32"/>
          <w:szCs w:val="32"/>
        </w:rPr>
        <w:t>外出</w:t>
      </w:r>
      <w:r>
        <w:rPr>
          <w:rFonts w:hint="eastAsia" w:ascii="仿宋" w:hAnsi="仿宋" w:eastAsia="仿宋" w:cs="Times New Roman"/>
          <w:sz w:val="32"/>
          <w:szCs w:val="32"/>
        </w:rPr>
        <w:t>学习研讨的报告，完成1篇涵盖多学科的中医临床科研设计方案；在国内外公开发行的期刊（具有国际标准刊号ISSN和国内统一刊号CN）发表不少于2篇与专业相关学术论文；完成1篇5000字以上的结业论文。</w:t>
      </w:r>
    </w:p>
    <w:p>
      <w:pPr>
        <w:spacing w:line="58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（三）中药开发方向：</w:t>
      </w:r>
      <w:r>
        <w:rPr>
          <w:rFonts w:hint="eastAsia" w:ascii="仿宋" w:hAnsi="仿宋" w:eastAsia="仿宋" w:cs="Times New Roman"/>
          <w:sz w:val="32"/>
          <w:szCs w:val="32"/>
        </w:rPr>
        <w:t>培养期间至少参加40天的中医药经典理论集中学习，游学和临床实践累计不少于60个工作日，培养对象观摩学习的内容应涵盖中药栽培、资源保护及利用、鉴定、炮制、传统制药工艺、制剂、调剂等各个方面。每年提交不少于1份以上总结学习中药特色技术的报告，并达到培养单位制定的相关学习要求；每年至少提交中药典籍读书笔记6篇，在国内外公开发行的期刊（具有国际标准刊号ISSN和国内统一刊号CN）发表不少于2篇与专业相关学术论文；每年</w:t>
      </w:r>
      <w:r>
        <w:rPr>
          <w:rFonts w:ascii="仿宋" w:hAnsi="仿宋" w:eastAsia="仿宋" w:cs="Times New Roman"/>
          <w:sz w:val="32"/>
          <w:szCs w:val="32"/>
        </w:rPr>
        <w:t>提交</w:t>
      </w:r>
      <w:r>
        <w:rPr>
          <w:rFonts w:hint="eastAsia" w:ascii="仿宋" w:hAnsi="仿宋" w:eastAsia="仿宋" w:cs="Times New Roman"/>
          <w:sz w:val="32"/>
          <w:szCs w:val="32"/>
        </w:rPr>
        <w:t>不少于4篇</w:t>
      </w:r>
      <w:r>
        <w:rPr>
          <w:rFonts w:ascii="仿宋" w:hAnsi="仿宋" w:eastAsia="仿宋" w:cs="Times New Roman"/>
          <w:sz w:val="32"/>
          <w:szCs w:val="32"/>
        </w:rPr>
        <w:t>外出参加</w:t>
      </w:r>
      <w:r>
        <w:rPr>
          <w:rFonts w:hint="eastAsia" w:ascii="仿宋" w:hAnsi="仿宋" w:eastAsia="仿宋" w:cs="Times New Roman"/>
          <w:sz w:val="32"/>
          <w:szCs w:val="32"/>
        </w:rPr>
        <w:t>学习调研的</w:t>
      </w:r>
      <w:r>
        <w:rPr>
          <w:rFonts w:ascii="仿宋" w:hAnsi="仿宋" w:eastAsia="仿宋" w:cs="Times New Roman"/>
          <w:sz w:val="32"/>
          <w:szCs w:val="32"/>
        </w:rPr>
        <w:t>学习心得</w:t>
      </w:r>
      <w:r>
        <w:rPr>
          <w:rFonts w:hint="eastAsia" w:ascii="仿宋" w:hAnsi="仿宋" w:eastAsia="仿宋" w:cs="Times New Roman"/>
          <w:sz w:val="32"/>
          <w:szCs w:val="32"/>
        </w:rPr>
        <w:t>；培养周期内成功申报1项厅局级以上科研课题；完成1篇5000字以上的结业论文。</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七、培养时间</w:t>
      </w:r>
    </w:p>
    <w:p>
      <w:pPr>
        <w:autoSpaceDE w:val="0"/>
        <w:autoSpaceDN w:val="0"/>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项目培养周期为3年，自</w:t>
      </w:r>
      <w:r>
        <w:rPr>
          <w:rFonts w:hint="eastAsia" w:ascii="仿宋" w:hAnsi="仿宋" w:eastAsia="仿宋" w:cs="仿宋_GB2312"/>
          <w:bCs/>
          <w:sz w:val="32"/>
          <w:szCs w:val="32"/>
        </w:rPr>
        <w:t>江西省中医药中青年骨干人才</w:t>
      </w:r>
      <w:r>
        <w:rPr>
          <w:rFonts w:hint="eastAsia" w:ascii="仿宋" w:hAnsi="仿宋" w:eastAsia="仿宋" w:cs="Times New Roman"/>
          <w:sz w:val="32"/>
          <w:szCs w:val="32"/>
        </w:rPr>
        <w:t>培养对象名单公布之日起。</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八、经费管理</w:t>
      </w:r>
    </w:p>
    <w:p>
      <w:pPr>
        <w:autoSpaceDE w:val="0"/>
        <w:autoSpaceDN w:val="0"/>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olor w:val="000000"/>
          <w:sz w:val="32"/>
          <w:szCs w:val="32"/>
        </w:rPr>
        <w:t>省中医药管理局安排省级财政专项资金，</w:t>
      </w:r>
      <w:r>
        <w:rPr>
          <w:rFonts w:hint="eastAsia" w:ascii="仿宋" w:hAnsi="仿宋" w:eastAsia="仿宋" w:cs="Times New Roman"/>
          <w:sz w:val="32"/>
          <w:szCs w:val="32"/>
        </w:rPr>
        <w:t>按每名培养对象平均15万元的标准予以补助。</w:t>
      </w:r>
    </w:p>
    <w:p>
      <w:pPr>
        <w:autoSpaceDE w:val="0"/>
        <w:autoSpaceDN w:val="0"/>
        <w:adjustRightInd w:val="0"/>
        <w:snapToGrid w:val="0"/>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该专项经费除少部分用于管理部门检查、监督、考核等管理工作外，绝大部分用于与培养有关的活动，包括购买图书文献资料、集中学习、临床进修、拜师、巡诊、调研、发表论文及参加学术交流活动等。</w:t>
      </w:r>
    </w:p>
    <w:p>
      <w:pPr>
        <w:autoSpaceDE w:val="0"/>
        <w:autoSpaceDN w:val="0"/>
        <w:adjustRightInd w:val="0"/>
        <w:snapToGrid w:val="0"/>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各培养对象所在单位要切实加强经费管理，制定经费管理细则，专款专用，合理使用，并于每年12月31日前将本年度专项经费安排和使用情况报送省中医药管理局科教处。</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九、培养考核</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考核分为平时管理、中期评估、结业考核。</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b/>
          <w:sz w:val="32"/>
          <w:szCs w:val="32"/>
        </w:rPr>
        <w:t>（一</w:t>
      </w:r>
      <w:r>
        <w:rPr>
          <w:rFonts w:ascii="仿宋" w:hAnsi="仿宋" w:eastAsia="仿宋" w:cs="Times New Roman"/>
          <w:b/>
          <w:sz w:val="32"/>
          <w:szCs w:val="32"/>
        </w:rPr>
        <w:t>）</w:t>
      </w:r>
      <w:r>
        <w:rPr>
          <w:rFonts w:hint="eastAsia" w:ascii="仿宋" w:hAnsi="仿宋" w:eastAsia="仿宋" w:cs="Times New Roman"/>
          <w:b/>
          <w:sz w:val="32"/>
          <w:szCs w:val="32"/>
        </w:rPr>
        <w:t>平时管理。</w:t>
      </w:r>
      <w:r>
        <w:rPr>
          <w:rFonts w:hint="eastAsia" w:ascii="仿宋" w:hAnsi="仿宋" w:eastAsia="仿宋" w:cs="Times New Roman"/>
          <w:sz w:val="32"/>
          <w:szCs w:val="32"/>
        </w:rPr>
        <w:t>由培养对象所在单位负责。内容主要包括培养对象在本单位开展工作实践、应用研究等。</w:t>
      </w:r>
    </w:p>
    <w:p>
      <w:pPr>
        <w:autoSpaceDE w:val="0"/>
        <w:autoSpaceDN w:val="0"/>
        <w:adjustRightInd w:val="0"/>
        <w:snapToGrid w:val="0"/>
        <w:spacing w:line="580" w:lineRule="exact"/>
        <w:ind w:firstLine="641"/>
        <w:rPr>
          <w:rFonts w:ascii="仿宋" w:hAnsi="仿宋" w:eastAsia="仿宋" w:cs="Times New Roman"/>
          <w:sz w:val="32"/>
          <w:szCs w:val="32"/>
          <w:u w:val="none"/>
        </w:rPr>
      </w:pPr>
      <w:r>
        <w:rPr>
          <w:rFonts w:hint="eastAsia" w:ascii="仿宋" w:hAnsi="仿宋" w:eastAsia="仿宋" w:cs="Times New Roman"/>
          <w:b/>
          <w:sz w:val="32"/>
          <w:szCs w:val="32"/>
        </w:rPr>
        <w:t>（二）</w:t>
      </w:r>
      <w:r>
        <w:rPr>
          <w:rFonts w:hint="eastAsia" w:ascii="仿宋" w:hAnsi="仿宋" w:eastAsia="仿宋" w:cs="Times New Roman"/>
          <w:b/>
          <w:sz w:val="32"/>
          <w:szCs w:val="32"/>
          <w:lang w:eastAsia="zh-CN"/>
        </w:rPr>
        <w:t>年度考核</w:t>
      </w:r>
      <w:r>
        <w:rPr>
          <w:rFonts w:ascii="仿宋" w:hAnsi="仿宋" w:eastAsia="仿宋" w:cs="Times New Roman"/>
          <w:b/>
          <w:sz w:val="32"/>
          <w:szCs w:val="32"/>
        </w:rPr>
        <w:t>。</w:t>
      </w:r>
      <w:r>
        <w:rPr>
          <w:rFonts w:hint="eastAsia" w:ascii="仿宋" w:hAnsi="仿宋" w:eastAsia="仿宋" w:cs="Times New Roman"/>
          <w:sz w:val="32"/>
          <w:szCs w:val="32"/>
        </w:rPr>
        <w:t>由省中医药管理局组织</w:t>
      </w:r>
      <w:r>
        <w:rPr>
          <w:rFonts w:ascii="仿宋" w:hAnsi="仿宋" w:eastAsia="仿宋" w:cs="Times New Roman"/>
          <w:sz w:val="32"/>
          <w:szCs w:val="32"/>
        </w:rPr>
        <w:t>进行</w:t>
      </w:r>
      <w:r>
        <w:rPr>
          <w:rFonts w:hint="eastAsia" w:ascii="仿宋" w:hAnsi="仿宋" w:eastAsia="仿宋" w:cs="Times New Roman"/>
          <w:sz w:val="32"/>
          <w:szCs w:val="32"/>
        </w:rPr>
        <w:t>，</w:t>
      </w:r>
      <w:r>
        <w:rPr>
          <w:rFonts w:ascii="仿宋" w:hAnsi="仿宋" w:eastAsia="仿宋" w:cs="Times New Roman"/>
          <w:sz w:val="32"/>
          <w:szCs w:val="32"/>
        </w:rPr>
        <w:t>考核</w:t>
      </w:r>
      <w:r>
        <w:rPr>
          <w:rFonts w:hint="eastAsia" w:ascii="仿宋" w:hAnsi="仿宋" w:eastAsia="仿宋" w:cs="Times New Roman"/>
          <w:sz w:val="32"/>
          <w:szCs w:val="32"/>
        </w:rPr>
        <w:t>内容</w:t>
      </w:r>
      <w:r>
        <w:rPr>
          <w:rFonts w:ascii="仿宋" w:hAnsi="仿宋" w:eastAsia="仿宋" w:cs="Times New Roman"/>
          <w:sz w:val="32"/>
          <w:szCs w:val="32"/>
        </w:rPr>
        <w:t>主要包括培养对象</w:t>
      </w:r>
      <w:r>
        <w:rPr>
          <w:rFonts w:hint="eastAsia" w:ascii="仿宋" w:hAnsi="仿宋" w:eastAsia="仿宋" w:cs="Times New Roman"/>
          <w:sz w:val="32"/>
          <w:szCs w:val="32"/>
        </w:rPr>
        <w:t>学习</w:t>
      </w:r>
      <w:r>
        <w:rPr>
          <w:rFonts w:ascii="仿宋" w:hAnsi="仿宋" w:eastAsia="仿宋" w:cs="Times New Roman"/>
          <w:sz w:val="32"/>
          <w:szCs w:val="32"/>
        </w:rPr>
        <w:t>情况、经费使用情况</w:t>
      </w:r>
      <w:r>
        <w:rPr>
          <w:rFonts w:hint="eastAsia" w:ascii="仿宋" w:hAnsi="仿宋" w:eastAsia="仿宋" w:cs="Times New Roman"/>
          <w:sz w:val="32"/>
          <w:szCs w:val="32"/>
        </w:rPr>
        <w:t>、</w:t>
      </w:r>
      <w:r>
        <w:rPr>
          <w:rFonts w:ascii="仿宋" w:hAnsi="仿宋" w:eastAsia="仿宋" w:cs="Times New Roman"/>
          <w:sz w:val="32"/>
          <w:szCs w:val="32"/>
        </w:rPr>
        <w:t>学习任务完成情况等</w:t>
      </w:r>
      <w:r>
        <w:rPr>
          <w:rFonts w:hint="eastAsia" w:ascii="仿宋" w:hAnsi="仿宋" w:eastAsia="仿宋" w:cs="Times New Roman"/>
          <w:sz w:val="32"/>
          <w:szCs w:val="32"/>
        </w:rPr>
        <w:t>，</w:t>
      </w:r>
      <w:r>
        <w:rPr>
          <w:rFonts w:ascii="仿宋" w:hAnsi="仿宋" w:eastAsia="仿宋" w:cs="Times New Roman"/>
          <w:sz w:val="32"/>
          <w:szCs w:val="32"/>
          <w:u w:val="none"/>
        </w:rPr>
        <w:t>对</w:t>
      </w:r>
      <w:r>
        <w:rPr>
          <w:rFonts w:hint="eastAsia" w:ascii="仿宋" w:hAnsi="仿宋" w:eastAsia="仿宋" w:cs="Times New Roman"/>
          <w:sz w:val="32"/>
          <w:szCs w:val="32"/>
          <w:u w:val="none"/>
          <w:lang w:eastAsia="zh-CN"/>
        </w:rPr>
        <w:t>学习态度不端正、</w:t>
      </w:r>
      <w:r>
        <w:rPr>
          <w:rFonts w:hint="eastAsia" w:ascii="仿宋" w:hAnsi="仿宋" w:eastAsia="仿宋" w:cs="Times New Roman"/>
          <w:sz w:val="32"/>
          <w:szCs w:val="32"/>
          <w:u w:val="none"/>
        </w:rPr>
        <w:t>培养进度缓</w:t>
      </w:r>
      <w:r>
        <w:rPr>
          <w:rFonts w:hint="eastAsia" w:ascii="仿宋" w:hAnsi="仿宋" w:eastAsia="仿宋" w:cs="Times New Roman"/>
          <w:sz w:val="32"/>
          <w:szCs w:val="32"/>
          <w:u w:val="none"/>
          <w:lang w:eastAsia="zh-CN"/>
        </w:rPr>
        <w:t>慢</w:t>
      </w:r>
      <w:r>
        <w:rPr>
          <w:rFonts w:hint="eastAsia" w:ascii="仿宋" w:hAnsi="仿宋" w:eastAsia="仿宋" w:cs="Times New Roman"/>
          <w:sz w:val="32"/>
          <w:szCs w:val="32"/>
          <w:u w:val="none"/>
        </w:rPr>
        <w:t>者</w:t>
      </w:r>
      <w:r>
        <w:rPr>
          <w:rFonts w:hint="eastAsia" w:ascii="仿宋" w:hAnsi="仿宋" w:eastAsia="仿宋" w:cs="Times New Roman"/>
          <w:sz w:val="32"/>
          <w:szCs w:val="32"/>
          <w:u w:val="none"/>
          <w:lang w:eastAsia="zh-CN"/>
        </w:rPr>
        <w:t>，省中医药管理局将采取责令限期改正、通报所在单位或</w:t>
      </w:r>
      <w:r>
        <w:rPr>
          <w:rFonts w:ascii="仿宋" w:hAnsi="仿宋" w:eastAsia="仿宋" w:cs="Times New Roman"/>
          <w:sz w:val="32"/>
          <w:szCs w:val="32"/>
          <w:u w:val="none"/>
        </w:rPr>
        <w:t>视情况终止培养计划</w:t>
      </w:r>
      <w:r>
        <w:rPr>
          <w:rFonts w:hint="eastAsia" w:ascii="仿宋" w:hAnsi="仿宋" w:eastAsia="仿宋" w:cs="Times New Roman"/>
          <w:sz w:val="32"/>
          <w:szCs w:val="32"/>
          <w:u w:val="none"/>
          <w:lang w:eastAsia="zh-CN"/>
        </w:rPr>
        <w:t>等措施</w:t>
      </w:r>
      <w:r>
        <w:rPr>
          <w:rFonts w:ascii="仿宋" w:hAnsi="仿宋" w:eastAsia="仿宋" w:cs="Times New Roman"/>
          <w:sz w:val="32"/>
          <w:szCs w:val="32"/>
          <w:u w:val="none"/>
        </w:rPr>
        <w:t>。</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b/>
          <w:sz w:val="32"/>
          <w:szCs w:val="32"/>
        </w:rPr>
        <w:t>（三）结业</w:t>
      </w:r>
      <w:r>
        <w:rPr>
          <w:rFonts w:ascii="仿宋" w:hAnsi="仿宋" w:eastAsia="仿宋" w:cs="Times New Roman"/>
          <w:b/>
          <w:sz w:val="32"/>
          <w:szCs w:val="32"/>
        </w:rPr>
        <w:t>考核。</w:t>
      </w:r>
      <w:r>
        <w:rPr>
          <w:rFonts w:hint="eastAsia" w:ascii="仿宋" w:hAnsi="仿宋" w:eastAsia="仿宋" w:cs="Times New Roman"/>
          <w:sz w:val="32"/>
          <w:szCs w:val="32"/>
        </w:rPr>
        <w:t>省中医药管理局制定</w:t>
      </w:r>
      <w:r>
        <w:rPr>
          <w:rFonts w:ascii="仿宋" w:hAnsi="仿宋" w:eastAsia="仿宋" w:cs="Times New Roman"/>
          <w:sz w:val="32"/>
          <w:szCs w:val="32"/>
        </w:rPr>
        <w:t>结业考核方案和评分细则，对培养对象的学习情况</w:t>
      </w:r>
      <w:r>
        <w:rPr>
          <w:rFonts w:hint="eastAsia" w:ascii="仿宋" w:hAnsi="仿宋" w:eastAsia="仿宋" w:cs="Times New Roman"/>
          <w:sz w:val="32"/>
          <w:szCs w:val="32"/>
        </w:rPr>
        <w:t>、培养</w:t>
      </w:r>
      <w:r>
        <w:rPr>
          <w:rFonts w:ascii="仿宋" w:hAnsi="仿宋" w:eastAsia="仿宋" w:cs="Times New Roman"/>
          <w:sz w:val="32"/>
          <w:szCs w:val="32"/>
        </w:rPr>
        <w:t>任务</w:t>
      </w:r>
      <w:r>
        <w:rPr>
          <w:rFonts w:hint="eastAsia" w:ascii="仿宋" w:hAnsi="仿宋" w:eastAsia="仿宋" w:cs="Times New Roman"/>
          <w:sz w:val="32"/>
          <w:szCs w:val="32"/>
        </w:rPr>
        <w:t>完成</w:t>
      </w:r>
      <w:r>
        <w:rPr>
          <w:rFonts w:ascii="仿宋" w:hAnsi="仿宋" w:eastAsia="仿宋" w:cs="Times New Roman"/>
          <w:sz w:val="32"/>
          <w:szCs w:val="32"/>
        </w:rPr>
        <w:t>情况进行综合考核。</w:t>
      </w:r>
      <w:r>
        <w:rPr>
          <w:rFonts w:hint="eastAsia" w:ascii="仿宋" w:hAnsi="仿宋" w:eastAsia="仿宋" w:cs="Times New Roman"/>
          <w:sz w:val="32"/>
          <w:szCs w:val="32"/>
        </w:rPr>
        <w:t>可</w:t>
      </w:r>
      <w:r>
        <w:rPr>
          <w:rFonts w:ascii="仿宋" w:hAnsi="仿宋" w:eastAsia="仿宋" w:cs="Times New Roman"/>
          <w:sz w:val="32"/>
          <w:szCs w:val="32"/>
        </w:rPr>
        <w:t>根据实际情况，邀请有关专家对培养对象</w:t>
      </w:r>
      <w:r>
        <w:rPr>
          <w:rFonts w:hint="eastAsia" w:ascii="仿宋" w:hAnsi="仿宋" w:eastAsia="仿宋" w:cs="Times New Roman"/>
          <w:sz w:val="32"/>
          <w:szCs w:val="32"/>
        </w:rPr>
        <w:t>研究内容</w:t>
      </w:r>
      <w:r>
        <w:rPr>
          <w:rFonts w:ascii="仿宋" w:hAnsi="仿宋" w:eastAsia="仿宋" w:cs="Times New Roman"/>
          <w:sz w:val="32"/>
          <w:szCs w:val="32"/>
        </w:rPr>
        <w:t>的原创性</w:t>
      </w:r>
      <w:r>
        <w:rPr>
          <w:rFonts w:hint="eastAsia" w:ascii="仿宋" w:hAnsi="仿宋" w:eastAsia="仿宋" w:cs="Times New Roman"/>
          <w:sz w:val="32"/>
          <w:szCs w:val="32"/>
        </w:rPr>
        <w:t>、</w:t>
      </w:r>
      <w:r>
        <w:rPr>
          <w:rFonts w:ascii="仿宋" w:hAnsi="仿宋" w:eastAsia="仿宋" w:cs="Times New Roman"/>
          <w:sz w:val="32"/>
          <w:szCs w:val="32"/>
        </w:rPr>
        <w:t>发展潜力等</w:t>
      </w:r>
      <w:r>
        <w:rPr>
          <w:rFonts w:hint="eastAsia" w:ascii="仿宋" w:hAnsi="仿宋" w:eastAsia="仿宋" w:cs="Times New Roman"/>
          <w:sz w:val="32"/>
          <w:szCs w:val="32"/>
        </w:rPr>
        <w:t>内容</w:t>
      </w:r>
      <w:r>
        <w:rPr>
          <w:rFonts w:ascii="仿宋" w:hAnsi="仿宋" w:eastAsia="仿宋" w:cs="Times New Roman"/>
          <w:sz w:val="32"/>
          <w:szCs w:val="32"/>
        </w:rPr>
        <w:t>进行</w:t>
      </w:r>
      <w:r>
        <w:rPr>
          <w:rFonts w:hint="eastAsia" w:ascii="仿宋" w:hAnsi="仿宋" w:eastAsia="仿宋" w:cs="Times New Roman"/>
          <w:sz w:val="32"/>
          <w:szCs w:val="32"/>
        </w:rPr>
        <w:t>评价，对优秀的培养对象</w:t>
      </w:r>
      <w:r>
        <w:rPr>
          <w:rFonts w:ascii="仿宋" w:hAnsi="仿宋" w:eastAsia="仿宋" w:cs="Times New Roman"/>
          <w:sz w:val="32"/>
          <w:szCs w:val="32"/>
        </w:rPr>
        <w:t>给予相应的奖励。</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十、组织实施</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一）省中医药管理局负责项目的管理和组织实施。负责建立培养对象学习档案，记录培养情况及考核情况；协助联系相关专家，为培养对象跟师学习创造条件；支持培养对象主讲省级以上中医药继续教育项目课程；优先推荐培养对象申报科研项目；优先支持培养对象开展科研平台项目申报；组织开展项目的</w:t>
      </w:r>
      <w:r>
        <w:rPr>
          <w:rFonts w:hint="eastAsia" w:ascii="仿宋" w:hAnsi="仿宋" w:eastAsia="仿宋" w:cs="Times New Roman"/>
          <w:sz w:val="32"/>
          <w:szCs w:val="32"/>
          <w:lang w:eastAsia="zh-CN"/>
        </w:rPr>
        <w:t>年度</w:t>
      </w:r>
      <w:r>
        <w:rPr>
          <w:rFonts w:hint="eastAsia" w:ascii="仿宋" w:hAnsi="仿宋" w:eastAsia="仿宋" w:cs="Times New Roman"/>
          <w:sz w:val="32"/>
          <w:szCs w:val="32"/>
        </w:rPr>
        <w:t>和</w:t>
      </w:r>
      <w:r>
        <w:rPr>
          <w:rFonts w:ascii="仿宋" w:hAnsi="仿宋" w:eastAsia="仿宋" w:cs="Times New Roman"/>
          <w:sz w:val="32"/>
          <w:szCs w:val="32"/>
        </w:rPr>
        <w:t>结业考核</w:t>
      </w:r>
      <w:r>
        <w:rPr>
          <w:rFonts w:hint="eastAsia" w:ascii="仿宋" w:hAnsi="仿宋" w:eastAsia="仿宋" w:cs="Times New Roman"/>
          <w:sz w:val="32"/>
          <w:szCs w:val="32"/>
        </w:rPr>
        <w:t>。</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（二）培养对象所在单位负责项目日常管理和平时考核。支持培养对象开展集中学习、临床实践、跟师学习、主办中医药继续教育项目等研修学习活动；保证研修学员研修期间的工资及其他福利待遇。</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（三）培养对象按照本实施方案开展学习。不得中断学习，中断3个月以上或无故脱离本专业临床实践3个月以上者，由所在单位提出，报江西省中医药管理局批准，终止培养资格。</w:t>
      </w:r>
    </w:p>
    <w:p>
      <w:pPr>
        <w:autoSpaceDE w:val="0"/>
        <w:autoSpaceDN w:val="0"/>
        <w:adjustRightInd w:val="0"/>
        <w:snapToGrid w:val="0"/>
        <w:spacing w:line="580" w:lineRule="exact"/>
        <w:ind w:firstLine="641"/>
        <w:rPr>
          <w:rFonts w:ascii="黑体" w:hAnsi="黑体" w:eastAsia="黑体" w:cs="Times New Roman"/>
          <w:sz w:val="32"/>
          <w:szCs w:val="32"/>
        </w:rPr>
      </w:pPr>
      <w:r>
        <w:rPr>
          <w:rFonts w:hint="eastAsia" w:ascii="黑体" w:hAnsi="黑体" w:eastAsia="黑体" w:cs="Times New Roman"/>
          <w:sz w:val="32"/>
          <w:szCs w:val="32"/>
        </w:rPr>
        <w:t>十一、其他</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（一）结业考核成绩合格者，颁发江西省中医药中青年</w:t>
      </w:r>
      <w:r>
        <w:rPr>
          <w:rFonts w:ascii="仿宋" w:hAnsi="仿宋" w:eastAsia="仿宋" w:cs="Times New Roman"/>
          <w:sz w:val="32"/>
          <w:szCs w:val="32"/>
        </w:rPr>
        <w:t>骨干人才培训项目</w:t>
      </w:r>
      <w:r>
        <w:rPr>
          <w:rFonts w:hint="eastAsia" w:ascii="仿宋" w:hAnsi="仿宋" w:eastAsia="仿宋" w:cs="Times New Roman"/>
          <w:sz w:val="32"/>
          <w:szCs w:val="32"/>
        </w:rPr>
        <w:t>结业证书。</w:t>
      </w:r>
    </w:p>
    <w:p>
      <w:pPr>
        <w:autoSpaceDE w:val="0"/>
        <w:autoSpaceDN w:val="0"/>
        <w:adjustRightInd w:val="0"/>
        <w:snapToGrid w:val="0"/>
        <w:spacing w:line="580" w:lineRule="exact"/>
        <w:ind w:firstLine="641"/>
        <w:rPr>
          <w:rFonts w:ascii="仿宋" w:hAnsi="仿宋" w:eastAsia="仿宋" w:cs="Times New Roman"/>
          <w:sz w:val="32"/>
          <w:szCs w:val="32"/>
        </w:rPr>
      </w:pPr>
      <w:r>
        <w:rPr>
          <w:rFonts w:hint="eastAsia" w:ascii="仿宋" w:hAnsi="仿宋" w:eastAsia="仿宋" w:cs="Times New Roman"/>
          <w:sz w:val="32"/>
          <w:szCs w:val="32"/>
        </w:rPr>
        <w:t>（二）获得省级中医药继续教育学分25分。</w:t>
      </w:r>
    </w:p>
    <w:p>
      <w:pPr>
        <w:autoSpaceDE w:val="0"/>
        <w:autoSpaceDN w:val="0"/>
        <w:adjustRightInd w:val="0"/>
        <w:snapToGrid w:val="0"/>
        <w:spacing w:line="580" w:lineRule="exact"/>
        <w:rPr>
          <w:rFonts w:hint="eastAsia"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 xml:space="preserve">    </w:t>
      </w:r>
    </w:p>
    <w:p>
      <w:pPr>
        <w:autoSpaceDE w:val="0"/>
        <w:autoSpaceDN w:val="0"/>
        <w:adjustRightInd w:val="0"/>
        <w:snapToGrid w:val="0"/>
        <w:spacing w:line="580" w:lineRule="exact"/>
        <w:rPr>
          <w:rFonts w:hint="eastAsia" w:ascii="仿宋" w:hAnsi="仿宋" w:eastAsia="仿宋" w:cs="Times New Roman"/>
          <w:b w:val="0"/>
          <w:bCs/>
          <w:sz w:val="32"/>
          <w:szCs w:val="32"/>
          <w:lang w:val="en-US" w:eastAsia="zh-CN"/>
        </w:rPr>
      </w:pPr>
      <w:r>
        <w:rPr>
          <w:rFonts w:hint="eastAsia" w:ascii="仿宋" w:hAnsi="仿宋" w:eastAsia="仿宋" w:cs="宋体"/>
          <w:b/>
          <w:kern w:val="0"/>
          <w:sz w:val="32"/>
          <w:szCs w:val="32"/>
          <w:lang w:val="en-US" w:eastAsia="zh-CN"/>
        </w:rPr>
        <w:t xml:space="preserve">     </w:t>
      </w:r>
      <w:r>
        <w:rPr>
          <w:rFonts w:hint="eastAsia" w:ascii="仿宋" w:hAnsi="仿宋" w:eastAsia="仿宋" w:cs="宋体"/>
          <w:b w:val="0"/>
          <w:bCs/>
          <w:kern w:val="0"/>
          <w:sz w:val="32"/>
          <w:szCs w:val="32"/>
          <w:lang w:eastAsia="zh-CN"/>
        </w:rPr>
        <w:t>附件：中医药医籍书面</w:t>
      </w:r>
    </w:p>
    <w:p>
      <w:pPr>
        <w:widowControl/>
        <w:spacing w:line="600" w:lineRule="exact"/>
        <w:jc w:val="left"/>
        <w:rPr>
          <w:rFonts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center"/>
        <w:rPr>
          <w:rFonts w:hint="eastAsia" w:ascii="仿宋" w:hAnsi="仿宋" w:eastAsia="仿宋" w:cs="宋体"/>
          <w:kern w:val="0"/>
          <w:sz w:val="32"/>
          <w:szCs w:val="32"/>
        </w:rPr>
      </w:pPr>
    </w:p>
    <w:p>
      <w:pPr>
        <w:widowControl/>
        <w:spacing w:line="560" w:lineRule="exact"/>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附件</w:t>
      </w:r>
    </w:p>
    <w:p>
      <w:pPr>
        <w:widowControl/>
        <w:spacing w:line="560" w:lineRule="exact"/>
        <w:jc w:val="center"/>
        <w:rPr>
          <w:rFonts w:hint="eastAsia" w:ascii="宋体" w:hAnsi="宋体" w:eastAsia="宋体" w:cs="宋体"/>
          <w:kern w:val="0"/>
          <w:sz w:val="44"/>
          <w:szCs w:val="44"/>
        </w:rPr>
      </w:pPr>
    </w:p>
    <w:p>
      <w:pPr>
        <w:widowControl/>
        <w:spacing w:line="560" w:lineRule="exact"/>
        <w:jc w:val="center"/>
        <w:rPr>
          <w:rFonts w:hint="eastAsia" w:ascii="宋体" w:hAnsi="宋体" w:eastAsia="宋体" w:cs="宋体"/>
          <w:kern w:val="0"/>
          <w:sz w:val="44"/>
          <w:szCs w:val="44"/>
        </w:rPr>
      </w:pPr>
    </w:p>
    <w:p>
      <w:pPr>
        <w:widowControl/>
        <w:spacing w:line="560"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中医药医籍书目</w:t>
      </w:r>
    </w:p>
    <w:p>
      <w:pPr>
        <w:spacing w:line="600" w:lineRule="exact"/>
        <w:rPr>
          <w:rFonts w:ascii="仿宋" w:hAnsi="仿宋" w:eastAsia="仿宋" w:cs="宋体"/>
          <w:kern w:val="0"/>
          <w:sz w:val="32"/>
          <w:szCs w:val="32"/>
        </w:rPr>
      </w:pP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一、精读典籍</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《黄帝内经》(《素问》《灵枢》)、《伤寒论》(张仲景)、《金匮要略》(张仲景)、《温病条辨》(吴瑭)、《温热经纬》(王士雄)、《神农本草经》。</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二、专科医籍</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（一）内科</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中藏经》、《诸病源侯论》（巢元方）、《千金要方》（孙思邈）、《脾胃论》(李杲)、《景岳全书》(杂症篇)(张介宾)、《丹溪心法》(朱震亨)、《医学心悟》(程钟龄)、《医宗金鉴》(内科部分)(吴谦等)、《医学衷中参西录》(张锡纯)、《实用中医内科学》(王永炎、严世芸)、《现代名中医医案精华》(董建华)。</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（二）外科</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《外科正宗》(陈实功)、《外科证治全生集》(王洪绪)、《疡科心得集》(高锦庭)、《医宗金鉴</w:t>
      </w:r>
      <w:r>
        <w:rPr>
          <w:rFonts w:hint="eastAsia" w:ascii="仿宋" w:hAnsi="仿宋" w:eastAsia="宋体" w:cs="宋体"/>
          <w:kern w:val="0"/>
          <w:sz w:val="32"/>
          <w:szCs w:val="32"/>
        </w:rPr>
        <w:t>•</w:t>
      </w:r>
      <w:r>
        <w:rPr>
          <w:rFonts w:hint="eastAsia" w:ascii="仿宋" w:hAnsi="仿宋" w:eastAsia="仿宋" w:cs="宋体"/>
          <w:kern w:val="0"/>
          <w:sz w:val="32"/>
          <w:szCs w:val="32"/>
        </w:rPr>
        <w:t>外科心法要诀》(吴谦等)、《中医外科学》(朱仁康)。</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（三）妇科</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《傅青主女科》(傅山)、《女科证治准绳》(王肯堂)、《景岳全书</w:t>
      </w:r>
      <w:r>
        <w:rPr>
          <w:rFonts w:hint="eastAsia" w:ascii="仿宋" w:hAnsi="仿宋" w:eastAsia="宋体" w:cs="宋体"/>
          <w:kern w:val="0"/>
          <w:sz w:val="32"/>
          <w:szCs w:val="32"/>
        </w:rPr>
        <w:t>•</w:t>
      </w:r>
      <w:r>
        <w:rPr>
          <w:rFonts w:hint="eastAsia" w:ascii="仿宋" w:hAnsi="仿宋" w:eastAsia="仿宋" w:cs="宋体"/>
          <w:kern w:val="0"/>
          <w:sz w:val="32"/>
          <w:szCs w:val="32"/>
        </w:rPr>
        <w:t>妇人规》(张介宾)、《妇人大全良方》(陈自明)、《济阴纲目》(武之望)。</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（四）儿科</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《小儿药证直诀》(钱乙)、《小儿病源方论》(陈文中)、《儿科痘疹方论》(陈文中)、《活幼心书》(曾士荣)、《幼科发挥》(万全)、《幼幼集成》(陈飞霞)、《中医药学高级丛书</w:t>
      </w:r>
      <w:r>
        <w:rPr>
          <w:rFonts w:hint="eastAsia" w:ascii="仿宋" w:hAnsi="仿宋" w:eastAsia="宋体" w:cs="宋体"/>
          <w:kern w:val="0"/>
          <w:sz w:val="32"/>
          <w:szCs w:val="32"/>
        </w:rPr>
        <w:t>•</w:t>
      </w:r>
      <w:r>
        <w:rPr>
          <w:rFonts w:hint="eastAsia" w:ascii="仿宋" w:hAnsi="仿宋" w:eastAsia="仿宋" w:cs="宋体"/>
          <w:kern w:val="0"/>
          <w:sz w:val="32"/>
          <w:szCs w:val="32"/>
        </w:rPr>
        <w:t>中医儿科学》(汪受传)、《实用中医儿科学》（江育仁、张奇文主编）。</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（五）针灸科</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《针灸甲乙经》(皇甫谧)、《针灸聚英》(高武)、《针灸大成》(杨继洲)。</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（六）骨伤科</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《医宗金鉴</w:t>
      </w:r>
      <w:r>
        <w:rPr>
          <w:rFonts w:hint="eastAsia" w:ascii="仿宋" w:hAnsi="仿宋" w:eastAsia="宋体" w:cs="宋体"/>
          <w:kern w:val="0"/>
          <w:sz w:val="32"/>
          <w:szCs w:val="32"/>
        </w:rPr>
        <w:t>•</w:t>
      </w:r>
      <w:r>
        <w:rPr>
          <w:rFonts w:hint="eastAsia" w:ascii="仿宋" w:hAnsi="仿宋" w:eastAsia="仿宋" w:cs="宋体"/>
          <w:kern w:val="0"/>
          <w:sz w:val="32"/>
          <w:szCs w:val="32"/>
        </w:rPr>
        <w:t>正骨心法要旨》（吴谦等）、《中医骨伤科古医籍选》(孙树椿、阙再忠)、《伤科集成》（丁建华）。</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（七）眼科</w:t>
      </w:r>
    </w:p>
    <w:p>
      <w:pPr>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《秘传眼科龙木论》、《银海精微》、《审视瑶函》(傅仁宇)、《目经大成》(黄庭镜)、《眼科金镜》(刘耀先)、《证治准绳》(眼科部分)(王肯堂)、《中医眼科全书》(唐由之)。</w:t>
      </w:r>
    </w:p>
    <w:p>
      <w:pPr>
        <w:spacing w:line="580" w:lineRule="exact"/>
        <w:ind w:firstLine="640"/>
        <w:rPr>
          <w:rFonts w:ascii="仿宋" w:hAnsi="仿宋" w:eastAsia="仿宋" w:cs="宋体"/>
          <w:kern w:val="0"/>
          <w:sz w:val="32"/>
          <w:szCs w:val="32"/>
        </w:rPr>
      </w:pPr>
      <w:r>
        <w:rPr>
          <w:rFonts w:hint="eastAsia" w:ascii="仿宋" w:hAnsi="仿宋" w:eastAsia="仿宋" w:cs="宋体"/>
          <w:b/>
          <w:kern w:val="0"/>
          <w:sz w:val="32"/>
          <w:szCs w:val="32"/>
        </w:rPr>
        <w:t>（八）耳鼻喉科</w:t>
      </w:r>
    </w:p>
    <w:p>
      <w:pPr>
        <w:snapToGri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《外科正宗》(耳鼻喉部分)(陈实功)、《医宗金鉴》(耳鼻喉部分)(吴谦等)、《景岳全书》(耳鼻喉部分)(张介宾)、《中医耳鼻咽喉口腔科学》(王永钦)。</w:t>
      </w:r>
    </w:p>
    <w:p>
      <w:pPr>
        <w:snapToGrid w:val="0"/>
        <w:spacing w:line="580" w:lineRule="exact"/>
        <w:ind w:firstLine="640"/>
        <w:rPr>
          <w:rFonts w:ascii="仿宋" w:hAnsi="仿宋" w:eastAsia="仿宋" w:cs="宋体"/>
          <w:kern w:val="0"/>
          <w:sz w:val="32"/>
          <w:szCs w:val="32"/>
        </w:rPr>
      </w:pPr>
      <w:r>
        <w:rPr>
          <w:rFonts w:hint="eastAsia" w:ascii="仿宋" w:hAnsi="仿宋" w:eastAsia="仿宋" w:cs="宋体"/>
          <w:kern w:val="0"/>
          <w:sz w:val="32"/>
          <w:szCs w:val="32"/>
        </w:rPr>
        <w:t>三、推荐书目</w:t>
      </w:r>
    </w:p>
    <w:p>
      <w:pPr>
        <w:widowControl/>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素问集注》(张隐罨)、《素问注释汇粹》(程士德)、《灵枢经注证发微》(马莳)、《灵枢经白话解》(陈璧琉、郑卓人)、《伤寒来苏集》(柯琴)、《伤寒论条析》(李荫岚)、《金匮要略心典》(尤在泾)、《金匮要略释义》(黄树曾)、《难经》、《古今医案按》(俞震)、《本草备要》(汪昂)、《医宗金鉴</w:t>
      </w:r>
      <w:r>
        <w:rPr>
          <w:rFonts w:hint="eastAsia" w:ascii="仿宋" w:hAnsi="仿宋" w:eastAsia="宋体" w:cs="宋体"/>
          <w:kern w:val="0"/>
          <w:sz w:val="32"/>
          <w:szCs w:val="32"/>
        </w:rPr>
        <w:t>•</w:t>
      </w:r>
      <w:r>
        <w:rPr>
          <w:rFonts w:hint="eastAsia" w:ascii="仿宋" w:hAnsi="仿宋" w:eastAsia="仿宋" w:cs="宋体"/>
          <w:kern w:val="0"/>
          <w:sz w:val="32"/>
          <w:szCs w:val="32"/>
        </w:rPr>
        <w:t>删补名医方论》(吴谦等)、《景岳全书》(张介宾)、《素问玄机原病式》(刘完素)、《脾胃论》(李杲)、《儒门事亲》(张从正)、《丹溪心法》(朱震亨)、《医贯》(赵养葵)、《理虚元鉴》(汪绮石)、《西溪书屋夜话录》(王旭高)、《医述》（程杏轩）、《石室秘录》(陈士铎)、《杂病源流犀烛》(沈金鳌)、《类证治裁》(林佩琴)、《医林改错》(王清任)、《血证论》(唐宗海)、《外感温热论》（叶天士）、《本草纲目》（李时珍）等。</w:t>
      </w:r>
    </w:p>
    <w:p>
      <w:pPr>
        <w:widowControl/>
        <w:spacing w:line="58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四、中国传统文化推荐书目</w:t>
      </w:r>
    </w:p>
    <w:p>
      <w:pPr>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易经》、《诗经》、《道德经》、《论语》、《孟子》、《尚书》、《礼记》、《庄子》、《管子》、《孙子兵法》、《抱朴子》、《说文解字注》（段玉裁著）、《四库全书总目提要》、《传习录》(王阳明著)、《日知录》（顾炎武著）、吕不韦《吕氏春秋》、董仲舒《春秋繁露》、东汉《白虎通》、王充《论衡》、 魏王弼《周易注》</w:t>
      </w:r>
      <w:r>
        <w:rPr>
          <w:rFonts w:hint="eastAsia" w:ascii="宋体" w:hAnsi="宋体" w:eastAsia="仿宋" w:cs="宋体"/>
          <w:kern w:val="0"/>
          <w:sz w:val="32"/>
          <w:szCs w:val="32"/>
        </w:rPr>
        <w:t> </w:t>
      </w:r>
      <w:r>
        <w:rPr>
          <w:rFonts w:hint="eastAsia" w:ascii="仿宋" w:hAnsi="仿宋" w:eastAsia="仿宋" w:cs="宋体"/>
          <w:kern w:val="0"/>
          <w:sz w:val="32"/>
          <w:szCs w:val="32"/>
        </w:rPr>
        <w:t>、北宋五子《周子通书》、《张子正蒙》、《二程遗书》、《朱子近思录》、《中国哲学简史》（冯友兰）、《回归原创之思—象思维视野下的中国智慧》（王树人）等。</w:t>
      </w:r>
    </w:p>
    <w:p>
      <w:pPr>
        <w:autoSpaceDE w:val="0"/>
        <w:autoSpaceDN w:val="0"/>
        <w:adjustRightInd w:val="0"/>
        <w:snapToGrid w:val="0"/>
        <w:spacing w:line="580" w:lineRule="exact"/>
        <w:rPr>
          <w:rFonts w:ascii="仿宋" w:hAnsi="仿宋" w:eastAsia="仿宋" w:cs="宋体"/>
          <w:b/>
          <w:kern w:val="0"/>
          <w:sz w:val="32"/>
          <w:szCs w:val="32"/>
        </w:rPr>
      </w:pPr>
    </w:p>
    <w:p>
      <w:pPr>
        <w:autoSpaceDE w:val="0"/>
        <w:autoSpaceDN w:val="0"/>
        <w:adjustRightInd w:val="0"/>
        <w:snapToGrid w:val="0"/>
        <w:spacing w:line="580" w:lineRule="exact"/>
        <w:ind w:firstLine="641"/>
        <w:rPr>
          <w:rFonts w:ascii="仿宋" w:hAnsi="仿宋" w:eastAsia="仿宋" w:cs="宋体"/>
          <w:b/>
          <w:kern w:val="0"/>
          <w:sz w:val="32"/>
          <w:szCs w:val="32"/>
        </w:rPr>
      </w:pPr>
    </w:p>
    <w:p>
      <w:pPr>
        <w:autoSpaceDE w:val="0"/>
        <w:autoSpaceDN w:val="0"/>
        <w:adjustRightInd w:val="0"/>
        <w:snapToGrid w:val="0"/>
        <w:spacing w:line="580" w:lineRule="exact"/>
        <w:ind w:firstLine="641"/>
        <w:rPr>
          <w:rFonts w:ascii="仿宋" w:hAnsi="仿宋" w:eastAsia="仿宋" w:cs="宋体"/>
          <w:b/>
          <w:kern w:val="0"/>
          <w:sz w:val="32"/>
          <w:szCs w:val="32"/>
        </w:rPr>
      </w:pPr>
    </w:p>
    <w:p>
      <w:pPr>
        <w:autoSpaceDE w:val="0"/>
        <w:autoSpaceDN w:val="0"/>
        <w:adjustRightInd w:val="0"/>
        <w:snapToGrid w:val="0"/>
        <w:spacing w:line="580" w:lineRule="exact"/>
        <w:ind w:firstLine="641"/>
        <w:rPr>
          <w:rFonts w:ascii="仿宋" w:hAnsi="仿宋" w:eastAsia="仿宋" w:cs="宋体"/>
          <w:b/>
          <w:kern w:val="0"/>
          <w:sz w:val="32"/>
          <w:szCs w:val="32"/>
        </w:rPr>
      </w:pPr>
    </w:p>
    <w:p>
      <w:pPr>
        <w:autoSpaceDE w:val="0"/>
        <w:autoSpaceDN w:val="0"/>
        <w:adjustRightInd w:val="0"/>
        <w:snapToGrid w:val="0"/>
        <w:spacing w:line="580" w:lineRule="exact"/>
        <w:ind w:firstLine="641"/>
        <w:rPr>
          <w:rFonts w:ascii="仿宋" w:hAnsi="仿宋" w:eastAsia="仿宋" w:cs="宋体"/>
          <w:b/>
          <w:kern w:val="0"/>
          <w:sz w:val="32"/>
          <w:szCs w:val="32"/>
        </w:rPr>
      </w:pPr>
    </w:p>
    <w:p>
      <w:pPr>
        <w:autoSpaceDE w:val="0"/>
        <w:autoSpaceDN w:val="0"/>
        <w:adjustRightInd w:val="0"/>
        <w:snapToGrid w:val="0"/>
        <w:spacing w:line="580" w:lineRule="exact"/>
        <w:ind w:firstLine="641"/>
        <w:rPr>
          <w:rFonts w:ascii="仿宋" w:hAnsi="仿宋" w:eastAsia="仿宋" w:cs="宋体"/>
          <w:b/>
          <w:kern w:val="0"/>
          <w:sz w:val="32"/>
          <w:szCs w:val="32"/>
        </w:rPr>
      </w:pPr>
    </w:p>
    <w:p>
      <w:pPr>
        <w:autoSpaceDE w:val="0"/>
        <w:autoSpaceDN w:val="0"/>
        <w:adjustRightInd w:val="0"/>
        <w:snapToGrid w:val="0"/>
        <w:spacing w:line="580" w:lineRule="exact"/>
        <w:ind w:firstLine="641"/>
        <w:rPr>
          <w:rFonts w:ascii="仿宋" w:hAnsi="仿宋" w:eastAsia="仿宋" w:cs="宋体"/>
          <w:b/>
          <w:kern w:val="0"/>
          <w:sz w:val="32"/>
          <w:szCs w:val="32"/>
        </w:rPr>
      </w:pPr>
    </w:p>
    <w:p>
      <w:pPr>
        <w:autoSpaceDE w:val="0"/>
        <w:autoSpaceDN w:val="0"/>
        <w:adjustRightInd w:val="0"/>
        <w:snapToGrid w:val="0"/>
        <w:spacing w:line="580" w:lineRule="exact"/>
        <w:ind w:firstLine="641"/>
        <w:rPr>
          <w:rFonts w:hint="eastAsia" w:ascii="仿宋" w:hAnsi="仿宋" w:eastAsia="仿宋" w:cs="宋体"/>
          <w:b/>
          <w:kern w:val="0"/>
          <w:sz w:val="32"/>
          <w:szCs w:val="32"/>
          <w:lang w:eastAsia="zh-CN"/>
        </w:rPr>
      </w:pPr>
    </w:p>
    <w:p>
      <w:pPr>
        <w:autoSpaceDE w:val="0"/>
        <w:autoSpaceDN w:val="0"/>
        <w:adjustRightInd w:val="0"/>
        <w:snapToGrid w:val="0"/>
        <w:spacing w:line="580" w:lineRule="exact"/>
        <w:ind w:firstLine="641"/>
        <w:rPr>
          <w:rFonts w:hint="eastAsia" w:ascii="仿宋" w:hAnsi="仿宋" w:eastAsia="仿宋" w:cs="宋体"/>
          <w:b/>
          <w:kern w:val="0"/>
          <w:sz w:val="32"/>
          <w:szCs w:val="32"/>
          <w:lang w:eastAsia="zh-CN"/>
        </w:rPr>
      </w:pPr>
    </w:p>
    <w:p>
      <w:pPr>
        <w:autoSpaceDE w:val="0"/>
        <w:autoSpaceDN w:val="0"/>
        <w:adjustRightInd w:val="0"/>
        <w:snapToGrid w:val="0"/>
        <w:spacing w:line="580" w:lineRule="exact"/>
        <w:ind w:firstLine="641"/>
        <w:rPr>
          <w:rFonts w:hint="eastAsia" w:ascii="仿宋" w:hAnsi="仿宋" w:eastAsia="仿宋" w:cs="宋体"/>
          <w:b/>
          <w:kern w:val="0"/>
          <w:sz w:val="32"/>
          <w:szCs w:val="32"/>
          <w:lang w:eastAsia="zh-CN"/>
        </w:rPr>
      </w:pPr>
    </w:p>
    <w:p>
      <w:pPr>
        <w:autoSpaceDE w:val="0"/>
        <w:autoSpaceDN w:val="0"/>
        <w:adjustRightInd w:val="0"/>
        <w:snapToGrid w:val="0"/>
        <w:spacing w:line="580" w:lineRule="exact"/>
        <w:ind w:firstLine="641"/>
        <w:rPr>
          <w:rFonts w:ascii="仿宋" w:hAnsi="仿宋" w:eastAsia="仿宋" w:cs="宋体"/>
          <w:b/>
          <w:kern w:val="0"/>
          <w:sz w:val="32"/>
          <w:szCs w:val="32"/>
        </w:rPr>
      </w:pPr>
    </w:p>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50CA26-DBA3-4EE5-BE75-D0C44CD0F3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B94E406F-67E1-4C33-A905-3837D164546A}"/>
  </w:font>
  <w:font w:name="方正小标宋简体">
    <w:altName w:val="方正舒体"/>
    <w:panose1 w:val="02000000000000000000"/>
    <w:charset w:val="86"/>
    <w:family w:val="script"/>
    <w:pitch w:val="default"/>
    <w:sig w:usb0="00000000" w:usb1="00000000" w:usb2="00000012" w:usb3="00000000" w:csb0="00040001" w:csb1="00000000"/>
    <w:embedRegular r:id="rId3" w:fontKey="{BB92845D-EB56-42F4-8F47-C04EA31AA5E6}"/>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9BA78FDE-D1A8-45A4-96CB-C8A6A7389325}"/>
  </w:font>
  <w:font w:name="等线 Light">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B682D973-38AB-4D71-AEFC-8B3B726AD1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 </w:t>
    </w:r>
    <w:sdt>
      <w:sdtPr>
        <w:rPr>
          <w:rFonts w:asciiTheme="majorEastAsia" w:hAnsiTheme="majorEastAsia" w:eastAsiaTheme="majorEastAsia"/>
          <w:sz w:val="28"/>
          <w:szCs w:val="28"/>
        </w:rPr>
        <w:id w:val="1395151"/>
        <w:docPartObj>
          <w:docPartGallery w:val="autotext"/>
        </w:docPartObj>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2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NjU1MGE2ZDk1MWM3NGYyMzU3ZDAwYmU1OWIwZWUifQ=="/>
  </w:docVars>
  <w:rsids>
    <w:rsidRoot w:val="00ED7DAC"/>
    <w:rsid w:val="00001CCF"/>
    <w:rsid w:val="00030237"/>
    <w:rsid w:val="00044B07"/>
    <w:rsid w:val="0006268C"/>
    <w:rsid w:val="000B012D"/>
    <w:rsid w:val="000C392E"/>
    <w:rsid w:val="000D4840"/>
    <w:rsid w:val="000F1158"/>
    <w:rsid w:val="00106D98"/>
    <w:rsid w:val="0011255B"/>
    <w:rsid w:val="00116304"/>
    <w:rsid w:val="0012528F"/>
    <w:rsid w:val="00134E02"/>
    <w:rsid w:val="0015764D"/>
    <w:rsid w:val="001576F3"/>
    <w:rsid w:val="00176C8F"/>
    <w:rsid w:val="00181B72"/>
    <w:rsid w:val="001A3514"/>
    <w:rsid w:val="001E3542"/>
    <w:rsid w:val="001E40C6"/>
    <w:rsid w:val="001F5497"/>
    <w:rsid w:val="001F685A"/>
    <w:rsid w:val="00222803"/>
    <w:rsid w:val="00257D6F"/>
    <w:rsid w:val="00261918"/>
    <w:rsid w:val="00273CE6"/>
    <w:rsid w:val="00274FCA"/>
    <w:rsid w:val="0028592B"/>
    <w:rsid w:val="0029337D"/>
    <w:rsid w:val="002A68CD"/>
    <w:rsid w:val="002A717F"/>
    <w:rsid w:val="002F3F04"/>
    <w:rsid w:val="0032178C"/>
    <w:rsid w:val="00334F1A"/>
    <w:rsid w:val="0034155E"/>
    <w:rsid w:val="00377F87"/>
    <w:rsid w:val="003A7D75"/>
    <w:rsid w:val="003E60F7"/>
    <w:rsid w:val="00434B35"/>
    <w:rsid w:val="00435549"/>
    <w:rsid w:val="00447238"/>
    <w:rsid w:val="004479AB"/>
    <w:rsid w:val="004658FC"/>
    <w:rsid w:val="004678B3"/>
    <w:rsid w:val="00480C97"/>
    <w:rsid w:val="004D1CCC"/>
    <w:rsid w:val="004E3848"/>
    <w:rsid w:val="004F1529"/>
    <w:rsid w:val="005110FA"/>
    <w:rsid w:val="00512BF2"/>
    <w:rsid w:val="005A528C"/>
    <w:rsid w:val="005C5CDE"/>
    <w:rsid w:val="006103BA"/>
    <w:rsid w:val="00663CD4"/>
    <w:rsid w:val="006E313F"/>
    <w:rsid w:val="00712C8B"/>
    <w:rsid w:val="00725715"/>
    <w:rsid w:val="007420F3"/>
    <w:rsid w:val="007D5B6B"/>
    <w:rsid w:val="00857BB6"/>
    <w:rsid w:val="008602CC"/>
    <w:rsid w:val="008709C0"/>
    <w:rsid w:val="00897A32"/>
    <w:rsid w:val="008A1052"/>
    <w:rsid w:val="008B14EE"/>
    <w:rsid w:val="009059C5"/>
    <w:rsid w:val="00917701"/>
    <w:rsid w:val="00923B2B"/>
    <w:rsid w:val="00943F25"/>
    <w:rsid w:val="00963FFC"/>
    <w:rsid w:val="00971CED"/>
    <w:rsid w:val="00980B42"/>
    <w:rsid w:val="009C3901"/>
    <w:rsid w:val="009E7C6F"/>
    <w:rsid w:val="00A04673"/>
    <w:rsid w:val="00A11E82"/>
    <w:rsid w:val="00A30F15"/>
    <w:rsid w:val="00A54F33"/>
    <w:rsid w:val="00A86887"/>
    <w:rsid w:val="00AB7C79"/>
    <w:rsid w:val="00AE3898"/>
    <w:rsid w:val="00AF14F4"/>
    <w:rsid w:val="00B1095F"/>
    <w:rsid w:val="00B153D2"/>
    <w:rsid w:val="00B45B3C"/>
    <w:rsid w:val="00B56275"/>
    <w:rsid w:val="00B9202C"/>
    <w:rsid w:val="00C07C37"/>
    <w:rsid w:val="00C13029"/>
    <w:rsid w:val="00C2563B"/>
    <w:rsid w:val="00C44B34"/>
    <w:rsid w:val="00C56A09"/>
    <w:rsid w:val="00C87B8E"/>
    <w:rsid w:val="00CA5A10"/>
    <w:rsid w:val="00CE1E9D"/>
    <w:rsid w:val="00CE31BD"/>
    <w:rsid w:val="00CF7D42"/>
    <w:rsid w:val="00D056E0"/>
    <w:rsid w:val="00D35674"/>
    <w:rsid w:val="00D624A6"/>
    <w:rsid w:val="00D71EF2"/>
    <w:rsid w:val="00DA60F0"/>
    <w:rsid w:val="00DB2245"/>
    <w:rsid w:val="00DC05AA"/>
    <w:rsid w:val="00DC07A5"/>
    <w:rsid w:val="00DD66A8"/>
    <w:rsid w:val="00DE4507"/>
    <w:rsid w:val="00DF2B87"/>
    <w:rsid w:val="00E54C48"/>
    <w:rsid w:val="00E56E3B"/>
    <w:rsid w:val="00E74A96"/>
    <w:rsid w:val="00EC0FCF"/>
    <w:rsid w:val="00EC11D1"/>
    <w:rsid w:val="00ED0D1C"/>
    <w:rsid w:val="00ED2DAD"/>
    <w:rsid w:val="00ED7DAC"/>
    <w:rsid w:val="00F40A29"/>
    <w:rsid w:val="00F532DD"/>
    <w:rsid w:val="00F84E08"/>
    <w:rsid w:val="00F851D8"/>
    <w:rsid w:val="00F8733B"/>
    <w:rsid w:val="00F97ACD"/>
    <w:rsid w:val="00FF0FFE"/>
    <w:rsid w:val="087F7DB0"/>
    <w:rsid w:val="3EEC3E1A"/>
    <w:rsid w:val="3F5F97BD"/>
    <w:rsid w:val="4C7D154F"/>
    <w:rsid w:val="5D7A3C14"/>
    <w:rsid w:val="5FBEF75A"/>
    <w:rsid w:val="63EACD5E"/>
    <w:rsid w:val="7DA52D70"/>
    <w:rsid w:val="7F75B8E6"/>
    <w:rsid w:val="AFC14A4A"/>
    <w:rsid w:val="DA5FBA8E"/>
    <w:rsid w:val="E6D7855E"/>
    <w:rsid w:val="ED3FA410"/>
    <w:rsid w:val="EF751BC6"/>
    <w:rsid w:val="F2FFF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5263</Words>
  <Characters>5325</Characters>
  <Lines>38</Lines>
  <Paragraphs>10</Paragraphs>
  <TotalTime>3</TotalTime>
  <ScaleCrop>false</ScaleCrop>
  <LinksUpToDate>false</LinksUpToDate>
  <CharactersWithSpaces>5340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2021-05-21T06:56:00Z</dcterms:created>
  <dc:creator>wolf red</dc:creator>
  <cp:lastModifiedBy>蒋贤宝</cp:lastModifiedBy>
  <cp:lastPrinted>2020-07-05T06:49:00Z</cp:lastPrinted>
  <dcterms:modified xsi:type="dcterms:W3CDTF">2022-04-28T07:38:29Z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0E50A12917084548B8192899670317FE</vt:lpwstr>
  </property>
</Properties>
</file>