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atLeast"/>
        <w:jc w:val="center"/>
        <w:rPr>
          <w:rFonts w:ascii="华文中宋" w:hAnsi="华文中宋" w:eastAsia="华文中宋" w:cs="Times New Roman"/>
          <w:b/>
          <w:szCs w:val="21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关于做好</w:t>
      </w:r>
      <w:r>
        <w:rPr>
          <w:rFonts w:hint="eastAsia" w:ascii="华文中宋" w:hAnsi="华文中宋" w:eastAsia="华文中宋" w:cs="Times New Roman"/>
          <w:b/>
          <w:kern w:val="0"/>
          <w:sz w:val="36"/>
          <w:szCs w:val="36"/>
        </w:rPr>
        <w:t>2021年申报高级专业技术资格评审人员</w:t>
      </w:r>
    </w:p>
    <w:p>
      <w:pPr>
        <w:widowControl/>
        <w:snapToGrid w:val="0"/>
        <w:spacing w:line="600" w:lineRule="atLeast"/>
        <w:jc w:val="center"/>
        <w:rPr>
          <w:rFonts w:ascii="华文中宋" w:hAnsi="华文中宋" w:eastAsia="华文中宋" w:cs="Times New Roman"/>
          <w:b/>
          <w:szCs w:val="21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代表作鉴定工作的通知</w:t>
      </w:r>
    </w:p>
    <w:p>
      <w:pPr>
        <w:pStyle w:val="12"/>
        <w:widowControl/>
        <w:snapToGrid w:val="0"/>
        <w:ind w:firstLine="0"/>
        <w:rPr>
          <w:rFonts w:eastAsia="仿宋_GB2312"/>
        </w:rPr>
      </w:pPr>
    </w:p>
    <w:p>
      <w:pPr>
        <w:pStyle w:val="12"/>
        <w:widowControl/>
        <w:snapToGrid w:val="0"/>
        <w:spacing w:line="520" w:lineRule="exact"/>
        <w:ind w:firstLine="0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12"/>
        <w:widowControl/>
        <w:snapToGrid w:val="0"/>
        <w:spacing w:line="520" w:lineRule="exact"/>
        <w:ind w:firstLine="0"/>
        <w:jc w:val="both"/>
        <w:rPr>
          <w:rFonts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shd w:val="clear" w:color="auto" w:fill="FFFFFF"/>
        </w:rPr>
        <w:t>校属（附属）各部门、各单位：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sz w:val="32"/>
          <w:szCs w:val="32"/>
          <w:shd w:val="clear" w:color="auto" w:fill="FFFFFF"/>
        </w:rPr>
        <w:t>为做好</w:t>
      </w:r>
      <w:r>
        <w:rPr>
          <w:rFonts w:eastAsia="仿宋_GB2312"/>
          <w:sz w:val="32"/>
          <w:szCs w:val="32"/>
          <w:shd w:val="clear" w:color="auto" w:fill="FFFFFF"/>
        </w:rPr>
        <w:t>20</w:t>
      </w:r>
      <w:r>
        <w:rPr>
          <w:rFonts w:hint="eastAsia" w:eastAsia="仿宋_GB2312"/>
          <w:sz w:val="32"/>
          <w:szCs w:val="32"/>
          <w:shd w:val="clear" w:color="auto" w:fill="FFFFFF"/>
        </w:rPr>
        <w:t>21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年职称评审工作，现就申报高级专业技术资格评审人员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提交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代表作送同行专家鉴定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事宜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通知如下：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shd w:val="clear" w:color="auto" w:fill="FFFFFF"/>
        </w:rPr>
        <w:t>一、申报人员范围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  <w:t>拟于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20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21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  <w:t>年申报高教、卫生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</w:rPr>
        <w:t>等各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  <w:t>系列高级专业技术资格评审的人员，须提交论文（著）等代表作送同行专家鉴定。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</w:rPr>
        <w:t>以下人员不需要提交代表作：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</w:rPr>
        <w:t>1.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201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9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2020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  <w:t>已提交代表作送审鉴定且鉴定结论为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“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  <w:t>合格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”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  <w:t>的人员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</w:rPr>
        <w:t>；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</w:rPr>
        <w:t>2.具有正高或副高资格、拟申请聘任该专业技术职务的人员。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黑体" w:eastAsia="黑体" w:cs="黑体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</w:rPr>
        <w:t>不需要提交代表作中的第1类人员如自愿提交本人最新、最具代表性成果申请鉴定的，可以报送；该代表作鉴定结果为本年度代表作送审的最终结果，之前的鉴定结果失效。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黑体" w:hAnsi="Times New Roman" w:eastAsia="黑体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sz w:val="32"/>
          <w:szCs w:val="32"/>
          <w:shd w:val="clear" w:color="auto" w:fill="FFFFFF"/>
        </w:rPr>
        <w:t>二、代表作要求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  <w:t>所提交送审的代表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</w:rPr>
        <w:t>性成果应是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在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</w:rPr>
        <w:t>取得现资格以来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  <w:t>至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20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20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12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31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  <w:t>日前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</w:rPr>
        <w:t>获得，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不存在学术不端行为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</w:rPr>
        <w:t>并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  <w:t>符合以下条件：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.以论文为代表性成果的，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</w:rPr>
        <w:t>须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  <w:t>在核心期刊上发表，且署名第一或通讯作者，能在知网等数据库中查询到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</w:rPr>
        <w:t>；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署名第二及以后顺序的，或在增刊、内刊、特刊、专集、论文集上发表的论文无效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.以著作为代表性成果的，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须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正式出版，有正规刊号和版权页，且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是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独著或第一主编。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2021年以前鉴定过的代表作，无论是何结果，不得再重新提交鉴定。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黑体" w:hAnsi="Times New Roman" w:eastAsia="黑体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sz w:val="32"/>
          <w:szCs w:val="32"/>
          <w:shd w:val="clear" w:color="auto" w:fill="FFFFFF"/>
        </w:rPr>
        <w:t>三、鉴定结果的认定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</w:rPr>
        <w:t>代表作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  <w:t>实行一文（部）三审，即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提交的</w:t>
      </w:r>
      <w:r>
        <w:rPr>
          <w:rFonts w:ascii="Times New Roman" w:hAnsi="Times New Roman" w:eastAsia="仿宋_GB2312"/>
          <w:color w:val="000000"/>
          <w:sz w:val="32"/>
          <w:szCs w:val="32"/>
        </w:rPr>
        <w:t>1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篇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  <w:t>（部）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代表作由</w:t>
      </w:r>
      <w:r>
        <w:rPr>
          <w:rFonts w:ascii="Times New Roman" w:hAnsi="Times New Roman" w:eastAsia="仿宋_GB2312"/>
          <w:color w:val="000000"/>
          <w:sz w:val="32"/>
          <w:szCs w:val="32"/>
        </w:rPr>
        <w:t>3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个专家进行鉴定。每篇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  <w:t>（部）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代表作有</w:t>
      </w:r>
      <w:r>
        <w:rPr>
          <w:rFonts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个及以上专家鉴定意见为“合格”，视为该代表作“合格”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仿宋_GB2312" w:hAnsi="Times New Roman" w:eastAsia="仿宋_GB2312" w:cs="仿宋_GB2312"/>
          <w:color w:val="000000"/>
          <w:sz w:val="32"/>
          <w:szCs w:val="32"/>
        </w:rPr>
        <w:t>申报副高资格评审的，应提交</w:t>
      </w:r>
      <w:r>
        <w:rPr>
          <w:rFonts w:ascii="Times New Roman" w:hAnsi="Times New Roman" w:eastAsia="仿宋_GB2312"/>
          <w:color w:val="000000"/>
          <w:sz w:val="32"/>
          <w:szCs w:val="32"/>
        </w:rPr>
        <w:t>1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篇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  <w:t>（部）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代表作，代表作鉴定为</w:t>
      </w:r>
      <w:r>
        <w:rPr>
          <w:rFonts w:ascii="Times New Roman" w:hAnsi="Times New Roman" w:eastAsia="仿宋_GB2312"/>
          <w:color w:val="000000"/>
          <w:sz w:val="32"/>
          <w:szCs w:val="32"/>
        </w:rPr>
        <w:t>“合格”，视为其代表作“合格”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仿宋_GB2312" w:hAnsi="Times New Roman" w:eastAsia="仿宋_GB2312" w:cs="仿宋_GB2312"/>
          <w:color w:val="000000"/>
          <w:sz w:val="32"/>
          <w:szCs w:val="32"/>
        </w:rPr>
        <w:t>申报正高资格评审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或破格申报副高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的，应提交</w:t>
      </w:r>
      <w:r>
        <w:rPr>
          <w:rFonts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篇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  <w:t>（部）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代表作，</w:t>
      </w:r>
      <w:r>
        <w:rPr>
          <w:rFonts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篇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  <w:t>（部）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代表作均鉴定为</w:t>
      </w:r>
      <w:r>
        <w:rPr>
          <w:rFonts w:ascii="Times New Roman" w:hAnsi="Times New Roman" w:eastAsia="仿宋_GB2312"/>
          <w:color w:val="000000"/>
          <w:sz w:val="32"/>
          <w:szCs w:val="32"/>
        </w:rPr>
        <w:t>“合格”，则视为其代表作“合格”。如有1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篇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  <w:t>（部）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代表作均鉴定为</w:t>
      </w:r>
      <w:r>
        <w:rPr>
          <w:rFonts w:ascii="Times New Roman" w:hAnsi="Times New Roman" w:eastAsia="仿宋_GB2312"/>
          <w:color w:val="000000"/>
          <w:sz w:val="32"/>
          <w:szCs w:val="32"/>
        </w:rPr>
        <w:t>“不合格”，则视为其代表作“不合格”。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sz w:val="32"/>
          <w:szCs w:val="32"/>
          <w:shd w:val="clear" w:color="auto" w:fill="FFFFFF"/>
        </w:rPr>
        <w:t>四、材料准备</w:t>
      </w:r>
    </w:p>
    <w:p>
      <w:pPr>
        <w:pStyle w:val="12"/>
        <w:widowControl/>
        <w:snapToGrid w:val="0"/>
        <w:spacing w:line="520" w:lineRule="exact"/>
        <w:ind w:firstLine="643" w:firstLineChars="200"/>
        <w:jc w:val="both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shd w:val="clear" w:color="auto" w:fill="FFFFFF"/>
        </w:rPr>
        <w:t>（一）</w:t>
      </w:r>
      <w:r>
        <w:rPr>
          <w:rFonts w:ascii="仿宋_GB2312" w:eastAsia="仿宋_GB2312" w:cs="仿宋_GB2312"/>
          <w:b/>
          <w:sz w:val="32"/>
          <w:szCs w:val="32"/>
          <w:shd w:val="clear" w:color="auto" w:fill="FFFFFF"/>
        </w:rPr>
        <w:t>代表作</w:t>
      </w:r>
    </w:p>
    <w:p>
      <w:pPr>
        <w:pStyle w:val="12"/>
        <w:widowControl/>
        <w:snapToGrid w:val="0"/>
        <w:spacing w:line="520" w:lineRule="exact"/>
        <w:ind w:firstLine="640" w:firstLineChars="200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sz w:val="32"/>
          <w:szCs w:val="32"/>
          <w:shd w:val="clear" w:color="auto" w:fill="FFFFFF"/>
        </w:rPr>
        <w:t>以论文作为代表作的，需提供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论文正文（PDF格式，非此格式的请转化）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12"/>
        <w:widowControl/>
        <w:snapToGrid w:val="0"/>
        <w:spacing w:line="520" w:lineRule="exact"/>
        <w:ind w:firstLine="640" w:firstLineChars="200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sz w:val="32"/>
          <w:szCs w:val="32"/>
          <w:shd w:val="clear" w:color="auto" w:fill="FFFFFF"/>
        </w:rPr>
        <w:t>以论著为代表作的，需提供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封面、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署名页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版权页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本人编写章节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内容（或者全书）电子版（PDF格式），应合并成一个文档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12"/>
        <w:widowControl/>
        <w:snapToGrid w:val="0"/>
        <w:spacing w:line="520" w:lineRule="exact"/>
        <w:ind w:firstLine="640" w:firstLineChars="200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以上电子版均以“代表作1：XXX(名称)”“代表作2：XXX(名称)”命名。</w:t>
      </w:r>
    </w:p>
    <w:p>
      <w:pPr>
        <w:pStyle w:val="12"/>
        <w:widowControl/>
        <w:snapToGrid w:val="0"/>
        <w:spacing w:line="520" w:lineRule="exact"/>
        <w:ind w:firstLine="643" w:firstLineChars="200"/>
        <w:jc w:val="both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shd w:val="clear" w:color="auto" w:fill="FFFFFF"/>
        </w:rPr>
        <w:t>（二）</w:t>
      </w:r>
      <w:r>
        <w:rPr>
          <w:rFonts w:ascii="仿宋_GB2312" w:eastAsia="仿宋_GB2312" w:cs="仿宋_GB2312"/>
          <w:b/>
          <w:sz w:val="32"/>
          <w:szCs w:val="32"/>
          <w:shd w:val="clear" w:color="auto" w:fill="FFFFFF"/>
        </w:rPr>
        <w:t>同行专家鉴定表</w:t>
      </w:r>
    </w:p>
    <w:p>
      <w:pPr>
        <w:pStyle w:val="12"/>
        <w:widowControl/>
        <w:snapToGrid w:val="0"/>
        <w:spacing w:line="520" w:lineRule="exact"/>
        <w:ind w:firstLine="640" w:firstLineChars="200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sz w:val="32"/>
          <w:szCs w:val="32"/>
          <w:shd w:val="clear" w:color="auto" w:fill="FFFFFF"/>
        </w:rPr>
        <w:t>从附件</w:t>
      </w:r>
      <w:r>
        <w:rPr>
          <w:rFonts w:eastAsia="仿宋_GB2312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下载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表格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，按填表说明填写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，无须打印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12"/>
        <w:widowControl/>
        <w:snapToGrid w:val="0"/>
        <w:spacing w:line="520" w:lineRule="exact"/>
        <w:ind w:firstLine="643" w:firstLineChars="200"/>
        <w:jc w:val="both"/>
        <w:rPr>
          <w:rFonts w:ascii="仿宋_GB2312" w:eastAsia="仿宋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b/>
          <w:sz w:val="32"/>
          <w:szCs w:val="32"/>
          <w:shd w:val="clear" w:color="auto" w:fill="FFFFFF"/>
        </w:rPr>
        <w:t>（三）代表作送审鉴定基本情况简表</w:t>
      </w:r>
    </w:p>
    <w:p>
      <w:pPr>
        <w:pStyle w:val="12"/>
        <w:widowControl/>
        <w:snapToGrid w:val="0"/>
        <w:spacing w:line="520" w:lineRule="exact"/>
        <w:ind w:firstLine="640" w:firstLineChars="200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sz w:val="32"/>
          <w:szCs w:val="32"/>
          <w:shd w:val="clear" w:color="auto" w:fill="FFFFFF"/>
        </w:rPr>
        <w:t>从附件</w:t>
      </w:r>
      <w:r>
        <w:rPr>
          <w:rFonts w:hint="eastAsia" w:eastAsia="仿宋_GB2312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下载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表格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，按填表说明填写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，无须打印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12"/>
        <w:widowControl/>
        <w:snapToGrid w:val="0"/>
        <w:spacing w:line="520" w:lineRule="exact"/>
        <w:ind w:firstLine="643" w:firstLineChars="200"/>
        <w:jc w:val="both"/>
        <w:rPr>
          <w:rFonts w:asci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shd w:val="clear" w:color="auto" w:fill="FFFFFF"/>
        </w:rPr>
        <w:t>（四）相关证明材料</w:t>
      </w:r>
    </w:p>
    <w:p>
      <w:pPr>
        <w:pStyle w:val="12"/>
        <w:widowControl/>
        <w:snapToGrid w:val="0"/>
        <w:spacing w:line="520" w:lineRule="exact"/>
        <w:ind w:firstLine="640" w:firstLineChars="200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以论文为代表作的，须提供知网等数据库查询截屏（见附件3、JPG格式），截屏时须完整显示搜索地址栏、题目、署名等信息，以“代表作1查询证明”“代表作2查询证明”命名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。被</w:t>
      </w:r>
      <w:r>
        <w:rPr>
          <w:rFonts w:eastAsia="仿宋_GB2312"/>
          <w:sz w:val="32"/>
          <w:szCs w:val="32"/>
          <w:shd w:val="clear" w:color="auto" w:fill="FFFFFF"/>
        </w:rPr>
        <w:t>SCI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、</w:t>
      </w:r>
      <w:r>
        <w:rPr>
          <w:rFonts w:eastAsia="仿宋_GB2312"/>
          <w:sz w:val="32"/>
          <w:szCs w:val="32"/>
          <w:shd w:val="clear" w:color="auto" w:fill="FFFFFF"/>
        </w:rPr>
        <w:t>EI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等收录的论文，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则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提供中文版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内容概要（Word格式，以“代表作1中文概要”“代表作2中文概要”命名）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及检索证明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（PDF格式）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sz w:val="32"/>
          <w:szCs w:val="32"/>
          <w:shd w:val="clear" w:color="auto" w:fill="FFFFFF"/>
        </w:rPr>
        <w:t>五、鉴定费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</w:rPr>
        <w:t>申报人提交论文为代表作的，每篇需交鉴定费600元；提交论著为代表作的，每部需交鉴定费900元。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</w:rPr>
        <w:t>转账信息（支持网上转账）：</w:t>
      </w:r>
    </w:p>
    <w:p>
      <w:pPr>
        <w:widowControl/>
        <w:snapToGrid w:val="0"/>
        <w:spacing w:line="520" w:lineRule="exact"/>
        <w:ind w:firstLine="640" w:firstLineChars="200"/>
        <w:rPr>
          <w:rFonts w:ascii="仿宋_GB2312" w:hAnsi="Times New Roman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color="auto" w:fill="FFFFFF"/>
        </w:rPr>
        <w:t>户    名：江西中医药大学</w:t>
      </w:r>
    </w:p>
    <w:p>
      <w:pPr>
        <w:widowControl/>
        <w:snapToGrid w:val="0"/>
        <w:spacing w:line="520" w:lineRule="exact"/>
        <w:ind w:firstLine="640" w:firstLineChars="200"/>
        <w:rPr>
          <w:rFonts w:ascii="仿宋_GB2312" w:hAnsi="Times New Roman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color="auto" w:fill="FFFFFF"/>
        </w:rPr>
        <w:t>账    号：14984001040000018</w:t>
      </w:r>
    </w:p>
    <w:p>
      <w:pPr>
        <w:widowControl/>
        <w:snapToGrid w:val="0"/>
        <w:spacing w:line="520" w:lineRule="atLeast"/>
        <w:ind w:firstLine="640" w:firstLineChars="200"/>
        <w:jc w:val="left"/>
        <w:rPr>
          <w:rFonts w:ascii="仿宋_GB2312" w:hAnsi="Times New Roman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color="auto" w:fill="FFFFFF"/>
        </w:rPr>
        <w:t>开 户 行：</w:t>
      </w:r>
      <w:r>
        <w:rPr>
          <w:rFonts w:hint="eastAsia" w:ascii="仿宋" w:hAnsi="仿宋" w:eastAsia="仿宋" w:cs="仿宋"/>
          <w:kern w:val="0"/>
          <w:sz w:val="32"/>
          <w:szCs w:val="32"/>
        </w:rPr>
        <w:t>农行南昌湾里新苑支行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</w:rPr>
        <w:t>转账备注：代表作鉴定费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黑体" w:hAnsi="Times New Roman" w:eastAsia="黑体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sz w:val="32"/>
          <w:szCs w:val="32"/>
          <w:shd w:val="clear" w:color="auto" w:fill="FFFFFF"/>
        </w:rPr>
        <w:t>六、材料报送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</w:rPr>
        <w:t>申报人员将以下电子材料汇总、打包，压缩成一个文件夹，以“XXX（姓名）申请代表作鉴定”命名，于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</w:rPr>
        <w:t>日前发送到以下邮箱：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</w:rPr>
        <w:t>（1）代表作；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</w:rPr>
        <w:t>（2）同行专家鉴定表；</w:t>
      </w:r>
    </w:p>
    <w:p>
      <w:pPr>
        <w:pStyle w:val="12"/>
        <w:widowControl/>
        <w:snapToGrid w:val="0"/>
        <w:spacing w:line="520" w:lineRule="exact"/>
        <w:ind w:firstLine="640" w:firstLineChars="200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（3）</w:t>
      </w:r>
      <w:r>
        <w:rPr>
          <w:rFonts w:hint="eastAsia" w:ascii="仿宋_GB2312" w:eastAsia="仿宋_GB2312" w:cs="仿宋_GB2312"/>
          <w:bCs/>
          <w:sz w:val="32"/>
          <w:szCs w:val="32"/>
          <w:shd w:val="clear" w:color="auto" w:fill="FFFFFF"/>
        </w:rPr>
        <w:t>代表作送审鉴定基本情况简表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；</w:t>
      </w:r>
    </w:p>
    <w:p>
      <w:pPr>
        <w:pStyle w:val="12"/>
        <w:widowControl/>
        <w:snapToGrid w:val="0"/>
        <w:spacing w:line="520" w:lineRule="exact"/>
        <w:ind w:firstLine="640" w:firstLineChars="200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（4）知网等数据库查询截屏等证明材料；</w:t>
      </w:r>
      <w:bookmarkStart w:id="0" w:name="_GoBack"/>
      <w:bookmarkEnd w:id="0"/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FFFFF"/>
        </w:rPr>
        <w:t>（5）转账记录。</w:t>
      </w:r>
    </w:p>
    <w:p>
      <w:pPr>
        <w:pStyle w:val="6"/>
        <w:snapToGrid w:val="0"/>
        <w:spacing w:beforeAutospacing="0" w:afterAutospacing="0" w:line="52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shd w:val="clear" w:color="auto" w:fill="FFFFFF"/>
        </w:rPr>
        <w:t>七、有关要求</w:t>
      </w:r>
    </w:p>
    <w:p>
      <w:pPr>
        <w:widowControl/>
        <w:snapToGrid w:val="0"/>
        <w:spacing w:line="520" w:lineRule="exact"/>
        <w:ind w:firstLine="640" w:firstLineChars="200"/>
        <w:rPr>
          <w:rFonts w:ascii="仿宋_GB2312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（一）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代表作鉴定是职称评审的必经环节，应提交而未提交代表作鉴定的人员，不能申报当年职称评审。请各部门务必重视，通知到每一位专业技术人员。</w:t>
      </w:r>
    </w:p>
    <w:p>
      <w:pPr>
        <w:widowControl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（二）</w:t>
      </w:r>
      <w:r>
        <w:rPr>
          <w:rFonts w:ascii="仿宋_GB2312" w:hAnsi="Times New Roman" w:eastAsia="仿宋_GB2312" w:cs="仿宋_GB2312"/>
          <w:kern w:val="0"/>
          <w:sz w:val="32"/>
          <w:szCs w:val="32"/>
        </w:rPr>
        <w:t>申报人员必须严格按照要求做好填报准备工作，所提供的代表作必须符合要求。</w:t>
      </w:r>
      <w:r>
        <w:rPr>
          <w:rFonts w:ascii="仿宋_GB2312" w:eastAsia="仿宋_GB2312" w:cs="仿宋_GB2312"/>
          <w:sz w:val="32"/>
          <w:szCs w:val="32"/>
        </w:rPr>
        <w:t>表格填报和材料准备不符合要求的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ascii="仿宋_GB2312" w:eastAsia="仿宋_GB2312" w:cs="仿宋_GB2312"/>
          <w:sz w:val="32"/>
          <w:szCs w:val="32"/>
        </w:rPr>
        <w:t>不予接收。</w:t>
      </w:r>
      <w:r>
        <w:rPr>
          <w:rFonts w:hint="eastAsia" w:ascii="仿宋_GB2312" w:eastAsia="仿宋_GB2312" w:cs="仿宋_GB2312"/>
          <w:sz w:val="32"/>
          <w:szCs w:val="32"/>
        </w:rPr>
        <w:t>由于代表作实行统一送校外鉴定，材料较多，具有时间性，请申报人员务必按规定时间报送。</w:t>
      </w:r>
    </w:p>
    <w:p>
      <w:pPr>
        <w:pStyle w:val="6"/>
        <w:snapToGrid w:val="0"/>
        <w:spacing w:beforeAutospacing="0" w:afterAutospacing="0" w:line="520" w:lineRule="exact"/>
        <w:ind w:right="-92" w:rightChars="-44"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（三）申报人员不得提交</w:t>
      </w:r>
      <w:r>
        <w:rPr>
          <w:rFonts w:ascii="仿宋_GB2312" w:hAnsi="Times New Roman" w:eastAsia="仿宋_GB2312" w:cs="仿宋_GB2312"/>
          <w:sz w:val="32"/>
          <w:szCs w:val="32"/>
        </w:rPr>
        <w:t>涉嫌学术不端的</w:t>
      </w:r>
      <w:r>
        <w:rPr>
          <w:rFonts w:hint="eastAsia" w:ascii="仿宋_GB2312" w:hAnsi="Times New Roman" w:eastAsia="仿宋_GB2312" w:cs="仿宋_GB2312"/>
          <w:sz w:val="32"/>
          <w:szCs w:val="32"/>
        </w:rPr>
        <w:t>代表作，如该代表作经检测或者被专家认定为</w:t>
      </w:r>
      <w:r>
        <w:rPr>
          <w:rFonts w:ascii="仿宋_GB2312" w:hAnsi="Times New Roman" w:eastAsia="仿宋_GB2312" w:cs="仿宋_GB2312"/>
          <w:sz w:val="32"/>
          <w:szCs w:val="32"/>
        </w:rPr>
        <w:t>涉嫌学术不端的</w:t>
      </w:r>
      <w:r>
        <w:rPr>
          <w:rFonts w:hint="eastAsia" w:ascii="仿宋_GB2312" w:hAnsi="Times New Roman" w:eastAsia="仿宋_GB2312" w:cs="仿宋_GB2312"/>
          <w:sz w:val="32"/>
          <w:szCs w:val="32"/>
        </w:rPr>
        <w:t>，将</w:t>
      </w:r>
      <w:r>
        <w:rPr>
          <w:rFonts w:ascii="仿宋_GB2312" w:hAnsi="Times New Roman" w:eastAsia="仿宋_GB2312" w:cs="仿宋_GB2312"/>
          <w:sz w:val="32"/>
          <w:szCs w:val="32"/>
        </w:rPr>
        <w:t>视情节轻重，分别给予处理。</w:t>
      </w:r>
    </w:p>
    <w:p>
      <w:pPr>
        <w:pStyle w:val="6"/>
        <w:snapToGrid w:val="0"/>
        <w:spacing w:beforeAutospacing="0" w:afterAutospacing="0" w:line="520" w:lineRule="exact"/>
        <w:ind w:right="-92" w:rightChars="-44" w:firstLine="640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（四）本年度</w:t>
      </w:r>
      <w:r>
        <w:rPr>
          <w:rFonts w:ascii="仿宋_GB2312" w:hAnsi="Times New Roman" w:eastAsia="仿宋_GB2312" w:cs="仿宋_GB2312"/>
          <w:sz w:val="32"/>
          <w:szCs w:val="32"/>
        </w:rPr>
        <w:t>代表作鉴定结果为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仿宋_GB2312" w:hAnsi="Times New Roman" w:eastAsia="仿宋_GB2312" w:cs="仿宋_GB2312"/>
          <w:sz w:val="32"/>
          <w:szCs w:val="32"/>
        </w:rPr>
        <w:t>不合格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仿宋_GB2312" w:hAnsi="Times New Roman" w:eastAsia="仿宋_GB2312" w:cs="仿宋_GB2312"/>
          <w:sz w:val="32"/>
          <w:szCs w:val="32"/>
        </w:rPr>
        <w:t>的人员，不得重新申请鉴定，不得申报</w:t>
      </w:r>
      <w:r>
        <w:rPr>
          <w:rFonts w:hint="eastAsia" w:ascii="仿宋_GB2312" w:hAnsi="Times New Roman" w:eastAsia="仿宋_GB2312" w:cs="仿宋_GB2312"/>
          <w:sz w:val="32"/>
          <w:szCs w:val="32"/>
        </w:rPr>
        <w:t>2021</w:t>
      </w:r>
      <w:r>
        <w:rPr>
          <w:rFonts w:ascii="仿宋_GB2312" w:hAnsi="Times New Roman" w:eastAsia="仿宋_GB2312" w:cs="仿宋_GB2312"/>
          <w:sz w:val="32"/>
          <w:szCs w:val="32"/>
        </w:rPr>
        <w:t>年的职称评审。</w:t>
      </w:r>
    </w:p>
    <w:p>
      <w:pPr>
        <w:pStyle w:val="6"/>
        <w:snapToGrid w:val="0"/>
        <w:spacing w:beforeAutospacing="0" w:afterAutospacing="0" w:line="520" w:lineRule="exact"/>
        <w:ind w:right="-92" w:rightChars="-44" w:firstLine="640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</w:p>
    <w:p>
      <w:pPr>
        <w:pStyle w:val="6"/>
        <w:snapToGrid w:val="0"/>
        <w:spacing w:beforeAutospacing="0" w:afterAutospacing="0" w:line="520" w:lineRule="exact"/>
        <w:ind w:right="-92" w:rightChars="-44" w:firstLine="640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联系人：于海华     邮  箱：</w:t>
      </w:r>
      <w:r>
        <w:fldChar w:fldCharType="begin"/>
      </w:r>
      <w:r>
        <w:instrText xml:space="preserve"> HYPERLINK "mailto:615508085@qq.com" </w:instrText>
      </w:r>
      <w:r>
        <w:fldChar w:fldCharType="separate"/>
      </w:r>
      <w:r>
        <w:rPr>
          <w:rStyle w:val="10"/>
          <w:rFonts w:hint="eastAsia" w:ascii="仿宋_GB2312" w:hAnsi="Times New Roman" w:eastAsia="仿宋_GB2312" w:cs="仿宋_GB2312"/>
          <w:color w:val="auto"/>
          <w:sz w:val="32"/>
          <w:szCs w:val="32"/>
        </w:rPr>
        <w:t>615508085@qq.com</w:t>
      </w:r>
      <w:r>
        <w:rPr>
          <w:rStyle w:val="10"/>
          <w:rFonts w:hint="eastAsia" w:ascii="仿宋_GB2312" w:hAnsi="Times New Roman" w:eastAsia="仿宋_GB2312" w:cs="仿宋_GB2312"/>
          <w:color w:val="auto"/>
          <w:sz w:val="32"/>
          <w:szCs w:val="32"/>
        </w:rPr>
        <w:fldChar w:fldCharType="end"/>
      </w:r>
    </w:p>
    <w:p>
      <w:pPr>
        <w:pStyle w:val="6"/>
        <w:snapToGrid w:val="0"/>
        <w:spacing w:beforeAutospacing="0" w:afterAutospacing="0" w:line="520" w:lineRule="exact"/>
        <w:ind w:right="-92" w:rightChars="-44" w:firstLine="640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</w:p>
    <w:p>
      <w:pPr>
        <w:widowControl/>
        <w:snapToGrid w:val="0"/>
        <w:spacing w:line="52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kern w:val="0"/>
          <w:sz w:val="32"/>
          <w:szCs w:val="32"/>
        </w:rPr>
        <w:t>附件：</w:t>
      </w:r>
    </w:p>
    <w:p>
      <w:pPr>
        <w:widowControl/>
        <w:snapToGrid w:val="0"/>
        <w:spacing w:line="520" w:lineRule="exact"/>
        <w:ind w:left="64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.</w:t>
      </w:r>
      <w:r>
        <w:rPr>
          <w:rFonts w:ascii="仿宋_GB2312" w:hAnsi="Times New Roman" w:eastAsia="仿宋_GB2312" w:cs="仿宋_GB2312"/>
          <w:kern w:val="0"/>
          <w:sz w:val="32"/>
          <w:szCs w:val="32"/>
        </w:rPr>
        <w:t>代表作同行专家鉴定表（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21</w:t>
      </w:r>
      <w:r>
        <w:rPr>
          <w:rFonts w:ascii="仿宋_GB2312" w:hAnsi="Times New Roman" w:eastAsia="仿宋_GB2312" w:cs="仿宋_GB2312"/>
          <w:kern w:val="0"/>
          <w:sz w:val="32"/>
          <w:szCs w:val="32"/>
        </w:rPr>
        <w:t>版）</w:t>
      </w:r>
    </w:p>
    <w:p>
      <w:pPr>
        <w:pStyle w:val="6"/>
        <w:snapToGrid w:val="0"/>
        <w:spacing w:beforeAutospacing="0" w:afterAutospacing="0" w:line="520" w:lineRule="exact"/>
        <w:ind w:right="-92" w:rightChars="-44" w:firstLine="640" w:firstLineChars="200"/>
        <w:jc w:val="both"/>
        <w:rPr>
          <w:rFonts w:ascii="仿宋_GB2312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</w:t>
      </w:r>
      <w:r>
        <w:rPr>
          <w:rFonts w:hint="eastAsia" w:ascii="仿宋_GB2312" w:eastAsia="仿宋_GB2312" w:cs="仿宋_GB2312"/>
          <w:bCs/>
          <w:sz w:val="32"/>
          <w:szCs w:val="32"/>
          <w:shd w:val="clear" w:color="auto" w:fill="FFFFFF"/>
        </w:rPr>
        <w:t>代表作送审鉴定基本情况简表</w:t>
      </w:r>
    </w:p>
    <w:p>
      <w:pPr>
        <w:pStyle w:val="6"/>
        <w:snapToGrid w:val="0"/>
        <w:spacing w:beforeAutospacing="0" w:afterAutospacing="0" w:line="520" w:lineRule="exact"/>
        <w:ind w:right="-92" w:rightChars="-44"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知网等数据库查询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/>
        </w:rPr>
        <w:t>截图</w:t>
      </w:r>
    </w:p>
    <w:p>
      <w:pPr>
        <w:pStyle w:val="6"/>
        <w:snapToGrid w:val="0"/>
        <w:spacing w:beforeAutospacing="0" w:afterAutospacing="0" w:line="520" w:lineRule="exact"/>
        <w:ind w:right="-92" w:rightChars="-44" w:firstLine="800" w:firstLineChars="25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6"/>
        <w:snapToGrid w:val="0"/>
        <w:spacing w:beforeAutospacing="0" w:afterAutospacing="0" w:line="520" w:lineRule="exact"/>
        <w:ind w:right="-92" w:rightChars="-44" w:firstLine="800" w:firstLineChars="25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</w:t>
      </w:r>
      <w:r>
        <w:rPr>
          <w:rFonts w:ascii="Times New Roman" w:hAnsi="Times New Roman" w:eastAsia="仿宋_GB2312"/>
          <w:sz w:val="32"/>
          <w:szCs w:val="32"/>
        </w:rPr>
        <w:t>学校职称</w:t>
      </w:r>
      <w:r>
        <w:rPr>
          <w:rFonts w:hint="eastAsia" w:ascii="Times New Roman" w:hAnsi="Times New Roman" w:eastAsia="仿宋_GB2312"/>
          <w:sz w:val="32"/>
          <w:szCs w:val="32"/>
        </w:rPr>
        <w:t>工作</w:t>
      </w:r>
      <w:r>
        <w:rPr>
          <w:rFonts w:ascii="Times New Roman" w:hAnsi="Times New Roman" w:eastAsia="仿宋_GB2312"/>
          <w:sz w:val="32"/>
          <w:szCs w:val="32"/>
        </w:rPr>
        <w:t>领导小组办公室</w:t>
      </w:r>
    </w:p>
    <w:p>
      <w:pPr>
        <w:pStyle w:val="6"/>
        <w:snapToGrid w:val="0"/>
        <w:spacing w:beforeAutospacing="0" w:afterAutospacing="0" w:line="520" w:lineRule="exact"/>
        <w:ind w:left="5758" w:leftChars="304" w:right="-92" w:rightChars="-44" w:hanging="5120" w:hanging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20</w:t>
      </w:r>
      <w:r>
        <w:rPr>
          <w:rFonts w:hint="eastAsia" w:ascii="Times New Roman" w:hAnsi="Times New Roman" w:eastAsia="仿宋_GB2312"/>
          <w:sz w:val="32"/>
          <w:szCs w:val="32"/>
        </w:rPr>
        <w:t>21</w:t>
      </w:r>
      <w:r>
        <w:rPr>
          <w:rFonts w:ascii="仿宋_GB2312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仿宋_GB2312" w:hAnsi="Times New Roman" w:eastAsia="仿宋_GB2312" w:cs="仿宋_GB2312"/>
          <w:sz w:val="32"/>
          <w:szCs w:val="32"/>
        </w:rPr>
        <w:t>月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8</w:t>
      </w:r>
      <w:r>
        <w:rPr>
          <w:rFonts w:ascii="仿宋_GB2312" w:hAnsi="Times New Roman" w:eastAsia="仿宋_GB2312" w:cs="仿宋_GB2312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AD961D0"/>
    <w:rsid w:val="000D655B"/>
    <w:rsid w:val="000F6CA2"/>
    <w:rsid w:val="0013428A"/>
    <w:rsid w:val="001B37B5"/>
    <w:rsid w:val="001C10A2"/>
    <w:rsid w:val="00203C79"/>
    <w:rsid w:val="00213911"/>
    <w:rsid w:val="00262B93"/>
    <w:rsid w:val="002B2A89"/>
    <w:rsid w:val="002F3AB3"/>
    <w:rsid w:val="002F7AD9"/>
    <w:rsid w:val="003418DA"/>
    <w:rsid w:val="0038052B"/>
    <w:rsid w:val="003A661D"/>
    <w:rsid w:val="003D7AF2"/>
    <w:rsid w:val="00486F3F"/>
    <w:rsid w:val="004E157F"/>
    <w:rsid w:val="00624386"/>
    <w:rsid w:val="006A6646"/>
    <w:rsid w:val="008833D0"/>
    <w:rsid w:val="00926183"/>
    <w:rsid w:val="00975358"/>
    <w:rsid w:val="00982EC5"/>
    <w:rsid w:val="009920EE"/>
    <w:rsid w:val="009B3EB2"/>
    <w:rsid w:val="00A22845"/>
    <w:rsid w:val="00C30564"/>
    <w:rsid w:val="00C5273D"/>
    <w:rsid w:val="00C93190"/>
    <w:rsid w:val="00CF1DCF"/>
    <w:rsid w:val="00D223F7"/>
    <w:rsid w:val="00D34422"/>
    <w:rsid w:val="00D60893"/>
    <w:rsid w:val="00D70E8F"/>
    <w:rsid w:val="00EF3D3F"/>
    <w:rsid w:val="00F17475"/>
    <w:rsid w:val="00F45EAB"/>
    <w:rsid w:val="00FC001B"/>
    <w:rsid w:val="02933FCB"/>
    <w:rsid w:val="03F37F4F"/>
    <w:rsid w:val="05573621"/>
    <w:rsid w:val="06357519"/>
    <w:rsid w:val="09FB7859"/>
    <w:rsid w:val="0B22660C"/>
    <w:rsid w:val="0B363CA5"/>
    <w:rsid w:val="0C85746E"/>
    <w:rsid w:val="0CB74A31"/>
    <w:rsid w:val="0CD02044"/>
    <w:rsid w:val="0DF07951"/>
    <w:rsid w:val="0FF87210"/>
    <w:rsid w:val="112E2FEC"/>
    <w:rsid w:val="127B79ED"/>
    <w:rsid w:val="13566C2A"/>
    <w:rsid w:val="13E32EB0"/>
    <w:rsid w:val="15A474FA"/>
    <w:rsid w:val="171B648B"/>
    <w:rsid w:val="176D689B"/>
    <w:rsid w:val="1A9E0082"/>
    <w:rsid w:val="1AD961D0"/>
    <w:rsid w:val="1B37163D"/>
    <w:rsid w:val="1E706B94"/>
    <w:rsid w:val="21D0512F"/>
    <w:rsid w:val="22DC1298"/>
    <w:rsid w:val="23A54329"/>
    <w:rsid w:val="23F6185B"/>
    <w:rsid w:val="25A127E0"/>
    <w:rsid w:val="25A411D5"/>
    <w:rsid w:val="26E83B6F"/>
    <w:rsid w:val="26FF787C"/>
    <w:rsid w:val="2781569F"/>
    <w:rsid w:val="284321A2"/>
    <w:rsid w:val="2B7A3788"/>
    <w:rsid w:val="2C366A02"/>
    <w:rsid w:val="2E4C19CB"/>
    <w:rsid w:val="2F74032B"/>
    <w:rsid w:val="304E102D"/>
    <w:rsid w:val="30E777FC"/>
    <w:rsid w:val="31A93C46"/>
    <w:rsid w:val="31C10B5C"/>
    <w:rsid w:val="32972EF3"/>
    <w:rsid w:val="33A72431"/>
    <w:rsid w:val="343E5E83"/>
    <w:rsid w:val="345B07FD"/>
    <w:rsid w:val="36CC7DBD"/>
    <w:rsid w:val="387551C4"/>
    <w:rsid w:val="38DE7FB8"/>
    <w:rsid w:val="39E82FCB"/>
    <w:rsid w:val="3C1E604D"/>
    <w:rsid w:val="3D652D22"/>
    <w:rsid w:val="3F0D4025"/>
    <w:rsid w:val="3F9C5FC6"/>
    <w:rsid w:val="410524AC"/>
    <w:rsid w:val="42386A83"/>
    <w:rsid w:val="443A5915"/>
    <w:rsid w:val="453C0539"/>
    <w:rsid w:val="45441E50"/>
    <w:rsid w:val="47974E83"/>
    <w:rsid w:val="49A42613"/>
    <w:rsid w:val="49EB7BFE"/>
    <w:rsid w:val="4A203C1F"/>
    <w:rsid w:val="4A587F64"/>
    <w:rsid w:val="4B8B202A"/>
    <w:rsid w:val="4B9E1674"/>
    <w:rsid w:val="4CFA4187"/>
    <w:rsid w:val="50A83EDB"/>
    <w:rsid w:val="53823567"/>
    <w:rsid w:val="53DB794A"/>
    <w:rsid w:val="54922AED"/>
    <w:rsid w:val="54F8155F"/>
    <w:rsid w:val="55A44E62"/>
    <w:rsid w:val="58164D4A"/>
    <w:rsid w:val="5AC3688D"/>
    <w:rsid w:val="5BF47603"/>
    <w:rsid w:val="5C4869C1"/>
    <w:rsid w:val="5DC56575"/>
    <w:rsid w:val="5DF1262D"/>
    <w:rsid w:val="5E2B3B0D"/>
    <w:rsid w:val="5F223F01"/>
    <w:rsid w:val="5F467318"/>
    <w:rsid w:val="63135738"/>
    <w:rsid w:val="632E75A1"/>
    <w:rsid w:val="63614DBF"/>
    <w:rsid w:val="636E7A8B"/>
    <w:rsid w:val="64E3645A"/>
    <w:rsid w:val="68A87CBE"/>
    <w:rsid w:val="68AA0187"/>
    <w:rsid w:val="6A1C4375"/>
    <w:rsid w:val="6A661D74"/>
    <w:rsid w:val="6A764415"/>
    <w:rsid w:val="6AD8610D"/>
    <w:rsid w:val="6E6E461E"/>
    <w:rsid w:val="6FD17017"/>
    <w:rsid w:val="70E31F3F"/>
    <w:rsid w:val="712C2340"/>
    <w:rsid w:val="73364435"/>
    <w:rsid w:val="73C832F1"/>
    <w:rsid w:val="74381409"/>
    <w:rsid w:val="78030CC9"/>
    <w:rsid w:val="7841013C"/>
    <w:rsid w:val="7855205D"/>
    <w:rsid w:val="79F900CE"/>
    <w:rsid w:val="7D3D5545"/>
    <w:rsid w:val="7D7816CB"/>
    <w:rsid w:val="7DE12365"/>
    <w:rsid w:val="7EEC5832"/>
    <w:rsid w:val="7F721E1B"/>
    <w:rsid w:val="7F7A1A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Hyperlink"/>
    <w:basedOn w:val="8"/>
    <w:qFormat/>
    <w:uiPriority w:val="0"/>
    <w:rPr>
      <w:color w:val="0000FF"/>
      <w:u w:val="none"/>
    </w:rPr>
  </w:style>
  <w:style w:type="character" w:styleId="11">
    <w:name w:val="annotation reference"/>
    <w:basedOn w:val="8"/>
    <w:uiPriority w:val="0"/>
    <w:rPr>
      <w:sz w:val="21"/>
      <w:szCs w:val="21"/>
    </w:rPr>
  </w:style>
  <w:style w:type="paragraph" w:customStyle="1" w:styleId="12">
    <w:name w:val="ptextindent2"/>
    <w:basedOn w:val="1"/>
    <w:qFormat/>
    <w:uiPriority w:val="0"/>
    <w:pPr>
      <w:ind w:firstLine="420"/>
      <w:jc w:val="left"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3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5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中医学院</Company>
  <Pages>4</Pages>
  <Words>284</Words>
  <Characters>1624</Characters>
  <Lines>13</Lines>
  <Paragraphs>3</Paragraphs>
  <TotalTime>23</TotalTime>
  <ScaleCrop>false</ScaleCrop>
  <LinksUpToDate>false</LinksUpToDate>
  <CharactersWithSpaces>1905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2020-04-08T04:27:00Z</dcterms:created>
  <dc:creator>于海华</dc:creator>
  <cp:lastModifiedBy>RSC</cp:lastModifiedBy>
  <dcterms:modified xsi:type="dcterms:W3CDTF">2021-06-09T00:40:34Z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07D11363B00F4569B503B1F72C4D5C7F</vt:lpwstr>
  </property>
</Properties>
</file>