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rPr>
      </w:pPr>
      <w:r>
        <w:rPr>
          <w:rFonts w:hint="eastAsia" w:ascii="仿宋" w:hAnsi="仿宋" w:eastAsia="仿宋" w:cs="仿宋"/>
          <w:b w:val="0"/>
          <w:bCs w:val="0"/>
          <w:color w:val="auto"/>
          <w:spacing w:val="2"/>
          <w:sz w:val="32"/>
          <w:szCs w:val="32"/>
          <w:lang w:eastAsia="zh-CN"/>
        </w:rPr>
        <w:t>江西</w:t>
      </w:r>
      <w:r>
        <w:rPr>
          <w:rFonts w:hint="eastAsia" w:ascii="仿宋" w:hAnsi="仿宋" w:eastAsia="仿宋" w:cs="仿宋"/>
          <w:b w:val="0"/>
          <w:bCs w:val="0"/>
          <w:color w:val="auto"/>
          <w:spacing w:val="2"/>
          <w:sz w:val="32"/>
          <w:szCs w:val="32"/>
        </w:rPr>
        <w:t>医学科技奖医学科学技术奖、医学科学技术普及奖推荐项目：</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lang w:eastAsia="zh-CN"/>
        </w:rPr>
      </w:pPr>
      <w:r>
        <w:rPr>
          <w:rFonts w:hint="eastAsia" w:ascii="仿宋" w:hAnsi="仿宋" w:eastAsia="仿宋" w:cs="仿宋"/>
          <w:b w:val="0"/>
          <w:bCs w:val="0"/>
          <w:color w:val="auto"/>
          <w:spacing w:val="2"/>
          <w:sz w:val="32"/>
          <w:szCs w:val="32"/>
        </w:rPr>
        <w:t>1.推荐奖种</w:t>
      </w:r>
      <w:r>
        <w:rPr>
          <w:rFonts w:hint="eastAsia" w:ascii="仿宋" w:hAnsi="仿宋" w:eastAsia="仿宋" w:cs="仿宋"/>
          <w:b w:val="0"/>
          <w:bCs w:val="0"/>
          <w:color w:val="auto"/>
          <w:spacing w:val="2"/>
          <w:sz w:val="32"/>
          <w:szCs w:val="32"/>
          <w:lang w:eastAsia="zh-CN"/>
        </w:rPr>
        <w:t>：医学科学技术类</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lang w:eastAsia="zh-CN"/>
        </w:rPr>
      </w:pPr>
      <w:r>
        <w:rPr>
          <w:rFonts w:hint="eastAsia" w:ascii="仿宋" w:hAnsi="仿宋" w:eastAsia="仿宋" w:cs="仿宋"/>
          <w:b w:val="0"/>
          <w:bCs w:val="0"/>
          <w:color w:val="auto"/>
          <w:spacing w:val="2"/>
          <w:sz w:val="32"/>
          <w:szCs w:val="32"/>
        </w:rPr>
        <w:t>2.项目名称</w:t>
      </w:r>
      <w:r>
        <w:rPr>
          <w:rFonts w:hint="eastAsia" w:ascii="仿宋" w:hAnsi="仿宋" w:eastAsia="仿宋" w:cs="仿宋"/>
          <w:b w:val="0"/>
          <w:bCs w:val="0"/>
          <w:color w:val="auto"/>
          <w:spacing w:val="2"/>
          <w:sz w:val="32"/>
          <w:szCs w:val="32"/>
          <w:lang w:eastAsia="zh-CN"/>
        </w:rPr>
        <w:t>：电视纵隔镜在临床诊疗中的应用研究</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lang w:eastAsia="zh-CN"/>
        </w:rPr>
      </w:pPr>
      <w:r>
        <w:rPr>
          <w:rFonts w:hint="eastAsia" w:ascii="仿宋" w:hAnsi="仿宋" w:eastAsia="仿宋" w:cs="仿宋"/>
          <w:b w:val="0"/>
          <w:bCs w:val="0"/>
          <w:color w:val="auto"/>
          <w:spacing w:val="2"/>
          <w:sz w:val="32"/>
          <w:szCs w:val="32"/>
        </w:rPr>
        <w:t>3.推荐单位</w:t>
      </w:r>
      <w:r>
        <w:rPr>
          <w:rFonts w:hint="eastAsia" w:ascii="仿宋" w:hAnsi="仿宋" w:eastAsia="仿宋" w:cs="仿宋"/>
          <w:b w:val="0"/>
          <w:bCs w:val="0"/>
          <w:color w:val="auto"/>
          <w:spacing w:val="2"/>
          <w:sz w:val="32"/>
          <w:szCs w:val="32"/>
          <w:lang w:eastAsia="zh-CN"/>
        </w:rPr>
        <w:t>：江西中医药大学附属医院</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lang w:val="en-US" w:eastAsia="zh-CN"/>
        </w:rPr>
      </w:pPr>
      <w:r>
        <w:rPr>
          <w:rFonts w:hint="eastAsia" w:ascii="仿宋" w:hAnsi="仿宋" w:eastAsia="仿宋" w:cs="仿宋"/>
          <w:b w:val="0"/>
          <w:bCs w:val="0"/>
          <w:color w:val="auto"/>
          <w:spacing w:val="2"/>
          <w:sz w:val="32"/>
          <w:szCs w:val="32"/>
        </w:rPr>
        <w:t>4.推荐意见</w:t>
      </w:r>
      <w:r>
        <w:rPr>
          <w:rFonts w:hint="eastAsia" w:ascii="仿宋" w:hAnsi="仿宋" w:eastAsia="仿宋" w:cs="仿宋"/>
          <w:b w:val="0"/>
          <w:bCs w:val="0"/>
          <w:color w:val="auto"/>
          <w:spacing w:val="2"/>
          <w:sz w:val="32"/>
          <w:szCs w:val="32"/>
          <w:lang w:eastAsia="zh-CN"/>
        </w:rPr>
        <w:t>：该项目具有很高的研究及应用价值，拓宽了电视纵隔镜技术的应用范围，为患者提供了更微创、更优质的医疗服务，值得大力推广。</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lang w:eastAsia="zh-CN"/>
        </w:rPr>
      </w:pPr>
      <w:r>
        <w:rPr>
          <w:rFonts w:hint="eastAsia" w:ascii="仿宋" w:hAnsi="仿宋" w:eastAsia="仿宋" w:cs="仿宋"/>
          <w:b w:val="0"/>
          <w:bCs w:val="0"/>
          <w:color w:val="auto"/>
          <w:spacing w:val="2"/>
          <w:sz w:val="32"/>
          <w:szCs w:val="32"/>
        </w:rPr>
        <w:t>5.项目简介</w:t>
      </w:r>
      <w:r>
        <w:rPr>
          <w:rFonts w:hint="eastAsia" w:ascii="仿宋" w:hAnsi="仿宋" w:eastAsia="仿宋" w:cs="仿宋"/>
          <w:b w:val="0"/>
          <w:bCs w:val="0"/>
          <w:color w:val="auto"/>
          <w:spacing w:val="2"/>
          <w:sz w:val="32"/>
          <w:szCs w:val="32"/>
          <w:lang w:eastAsia="zh-CN"/>
        </w:rPr>
        <w:t>：</w:t>
      </w:r>
    </w:p>
    <w:p>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本项课题主要研究电视纵隔镜在临床诊断和治疗中的应用价值。首先回顾分析了218例行电视纵隔镜检查术患者的资料，并将入选的218例患者分为A、B两组：A：纵隔肿物或（和）纵隔淋巴结肿大尚未明确诊断158例；B：临床高度怀疑肺癌或诊断为非小细胞肺癌合并有纵隔淋巴结肿大60例。分别对两组病例收集到的相关临床资料进行分析，从而研究电视纵隔镜对纵隔肿物和纵隔淋巴结肿大的临床诊断价值及在肺癌TNM分期中临床意义。</w:t>
      </w:r>
      <w:r>
        <w:rPr>
          <w:rFonts w:hint="eastAsia" w:ascii="仿宋" w:hAnsi="仿宋" w:eastAsia="仿宋" w:cs="仿宋"/>
          <w:b w:val="0"/>
          <w:bCs w:val="0"/>
          <w:color w:val="auto"/>
          <w:kern w:val="0"/>
          <w:sz w:val="32"/>
          <w:szCs w:val="32"/>
          <w:lang w:val="en-US" w:eastAsia="zh-CN" w:bidi="ar"/>
        </w:rPr>
        <w:br w:type="textWrapping"/>
      </w:r>
      <w:r>
        <w:rPr>
          <w:rFonts w:hint="eastAsia" w:ascii="仿宋" w:hAnsi="仿宋" w:eastAsia="仿宋" w:cs="仿宋"/>
          <w:b w:val="0"/>
          <w:bCs w:val="0"/>
          <w:color w:val="auto"/>
          <w:kern w:val="0"/>
          <w:sz w:val="32"/>
          <w:szCs w:val="32"/>
          <w:lang w:val="en-US" w:eastAsia="zh-CN" w:bidi="ar"/>
        </w:rPr>
        <w:t xml:space="preserve">    我们尝试应用肋间电视纵隔镜手术诊断或治疗肺部周围肿块；纵隔肿块；和胸壁肿块，有24例原因不明的胸部肿块纳入第二个分析。临床上约有1/3的胸腔积液经常规检查但仍无法明确诊断，本研究尝试用肋间电视纵隔镜检查术对18例胸腔积液原因不明病人进行检查，总结其诊断经验。</w:t>
      </w:r>
      <w:r>
        <w:rPr>
          <w:rFonts w:hint="eastAsia" w:ascii="仿宋" w:hAnsi="仿宋" w:eastAsia="仿宋" w:cs="仿宋"/>
          <w:b w:val="0"/>
          <w:bCs w:val="0"/>
          <w:color w:val="auto"/>
          <w:kern w:val="0"/>
          <w:sz w:val="32"/>
          <w:szCs w:val="32"/>
          <w:lang w:val="en-US" w:eastAsia="zh-CN" w:bidi="ar"/>
        </w:rPr>
        <w:br w:type="textWrapping"/>
      </w:r>
      <w:r>
        <w:rPr>
          <w:rFonts w:hint="eastAsia" w:ascii="仿宋" w:hAnsi="仿宋" w:eastAsia="仿宋" w:cs="仿宋"/>
          <w:b w:val="0"/>
          <w:bCs w:val="0"/>
          <w:color w:val="auto"/>
          <w:kern w:val="0"/>
          <w:sz w:val="32"/>
          <w:szCs w:val="32"/>
          <w:lang w:val="en-US" w:eastAsia="zh-CN" w:bidi="ar"/>
        </w:rPr>
        <w:t>电视胸腔镜辅助治疗原发性手汗症行胸交感神经部分切断术的报道已很多，但电视纵隔镜辅助的报道却不多。我院应用肋间电视纵隔镜行胸交感神经链切断术治疗原发手汗症125例，对其疗效进行分析。临床经常碰到COPD并气胸患者经多种内科治疗措施后仍持续漏气，同时因心肺功能不全或衰竭等原因又不能耐受全麻下手术。我们采取局麻下应用肋间电视纵隔镜辅助下分期多孔胸腔闭式引流术治疗COPD并难治性气胸，对20余例病人进行经验总结。多数的胸外科医生进行手术通常仅行一侧的系统淋巴结清扫，我们尝试电视纵隔镜辅助行对侧纵隔淋巴结清扫术，主要指对侧的第2组和第4组，观察其可行性和安全性。我们对肺癌并恶性胸腔和心包积液患者行肋间电视纵隔镜下心包开窗手术，对其临床方法和疗效等也进行总结。江西省内各大医院拟购入电视纵隔镜，新余市人民医院已购入电视纵隔镜准备开展手术。省内多家医院已多次向我院讨教纵隔镜手术开展经验。通过进一步研究推广，在国内普及在局麻下应用肋间电视纵隔镜辅助分期多孔胸腔闭式引流术治疗COPD并难治性气胸，在国内大样本开展肺癌合并对侧纵隔淋巴结肿大患者行根治术同期应用电视纵隔镜辅助行对侧纵隔淋巴结清扫术。</w:t>
      </w:r>
    </w:p>
    <w:p>
      <w:pPr>
        <w:pStyle w:val="6"/>
        <w:keepNext w:val="0"/>
        <w:keepLines w:val="0"/>
        <w:pageBreakBefore w:val="0"/>
        <w:widowControl/>
        <w:suppressLineNumbers w:val="0"/>
        <w:kinsoku/>
        <w:wordWrap/>
        <w:overflowPunct/>
        <w:topLinePunct w:val="0"/>
        <w:autoSpaceDE/>
        <w:autoSpaceDN/>
        <w:bidi w:val="0"/>
        <w:spacing w:line="360" w:lineRule="auto"/>
        <w:ind w:firstLine="648" w:firstLineChars="200"/>
        <w:textAlignment w:val="auto"/>
        <w:rPr>
          <w:rFonts w:hint="eastAsia" w:ascii="仿宋" w:hAnsi="仿宋" w:eastAsia="仿宋" w:cs="仿宋"/>
          <w:b w:val="0"/>
          <w:bCs w:val="0"/>
          <w:color w:val="auto"/>
          <w:spacing w:val="2"/>
          <w:sz w:val="32"/>
          <w:szCs w:val="32"/>
          <w:lang w:eastAsia="zh-CN"/>
        </w:rPr>
      </w:pPr>
      <w:r>
        <w:rPr>
          <w:rFonts w:hint="eastAsia" w:ascii="仿宋" w:hAnsi="仿宋" w:eastAsia="仿宋" w:cs="仿宋"/>
          <w:b w:val="0"/>
          <w:bCs w:val="0"/>
          <w:color w:val="auto"/>
          <w:spacing w:val="2"/>
          <w:sz w:val="32"/>
          <w:szCs w:val="32"/>
        </w:rPr>
        <w:t>6.客观评价</w:t>
      </w:r>
      <w:r>
        <w:rPr>
          <w:rFonts w:hint="eastAsia" w:ascii="仿宋" w:hAnsi="仿宋" w:eastAsia="仿宋" w:cs="仿宋"/>
          <w:b w:val="0"/>
          <w:bCs w:val="0"/>
          <w:color w:val="auto"/>
          <w:spacing w:val="2"/>
          <w:sz w:val="32"/>
          <w:szCs w:val="32"/>
          <w:lang w:eastAsia="zh-CN"/>
        </w:rPr>
        <w:t>：</w:t>
      </w:r>
      <w:r>
        <w:rPr>
          <w:rFonts w:hint="eastAsia" w:ascii="仿宋" w:hAnsi="仿宋" w:eastAsia="仿宋" w:cs="仿宋"/>
          <w:b w:val="0"/>
          <w:bCs w:val="0"/>
          <w:color w:val="auto"/>
          <w:sz w:val="32"/>
          <w:szCs w:val="32"/>
        </w:rPr>
        <w:t>纵隔镜检查术虽然有创，国内用于肺癌分期</w:t>
      </w:r>
      <w:r>
        <w:rPr>
          <w:rFonts w:hint="eastAsia" w:ascii="仿宋" w:hAnsi="仿宋" w:eastAsia="仿宋" w:cs="仿宋"/>
          <w:b w:val="0"/>
          <w:bCs w:val="0"/>
          <w:color w:val="auto"/>
          <w:sz w:val="32"/>
          <w:szCs w:val="32"/>
          <w:lang w:eastAsia="zh-CN"/>
        </w:rPr>
        <w:t>也</w:t>
      </w:r>
      <w:r>
        <w:rPr>
          <w:rFonts w:hint="eastAsia" w:ascii="仿宋" w:hAnsi="仿宋" w:eastAsia="仿宋" w:cs="仿宋"/>
          <w:b w:val="0"/>
          <w:bCs w:val="0"/>
          <w:color w:val="auto"/>
          <w:sz w:val="32"/>
          <w:szCs w:val="32"/>
        </w:rPr>
        <w:t>还处于发展阶段，</w:t>
      </w:r>
      <w:r>
        <w:rPr>
          <w:rFonts w:hint="eastAsia" w:ascii="仿宋" w:hAnsi="仿宋" w:eastAsia="仿宋" w:cs="仿宋"/>
          <w:b w:val="0"/>
          <w:bCs w:val="0"/>
          <w:color w:val="auto"/>
          <w:sz w:val="32"/>
          <w:szCs w:val="32"/>
          <w:lang w:eastAsia="zh-CN"/>
        </w:rPr>
        <w:t>其可</w:t>
      </w:r>
      <w:r>
        <w:rPr>
          <w:rFonts w:hint="eastAsia" w:ascii="仿宋" w:hAnsi="仿宋" w:eastAsia="仿宋" w:cs="仿宋"/>
          <w:b w:val="0"/>
          <w:bCs w:val="0"/>
          <w:color w:val="auto"/>
          <w:sz w:val="32"/>
          <w:szCs w:val="32"/>
        </w:rPr>
        <w:t>减少肺癌的剖胸探查率是肯定的。纵隔隔镜检查术是一种相对低危险的安全手术， 目前文献资料提示纵隔镜检查术的并发症发生率低于2.5%，死亡率小于0.05%。主要并发症包括血管损伤、喉返神经损伤、纵隔胸膜损伤、感染等，而血管损伤是最严重的并发症，主要原因是操作者在分离纵隔气管前间隙时或游离标本时动作粗暴，对分离出的纵隔血管组织，误认为淋巴结或肿块，未作试验性穿刺证实，就盲目咬取，但需急诊开胸者较少，约为0.01%-0.6% 。纵隔镜手术是一种安全有效，创伤小，对胸部疑难疾病并纵隔淋巴结肿大患者的诊断符合率高。</w:t>
      </w:r>
    </w:p>
    <w:p>
      <w:pPr>
        <w:keepNext w:val="0"/>
        <w:keepLines w:val="0"/>
        <w:pageBreakBefore w:val="0"/>
        <w:widowControl/>
        <w:suppressLineNumbers w:val="0"/>
        <w:kinsoku/>
        <w:wordWrap/>
        <w:overflowPunct/>
        <w:topLinePunct w:val="0"/>
        <w:autoSpaceDE/>
        <w:autoSpaceDN/>
        <w:bidi w:val="0"/>
        <w:spacing w:line="360" w:lineRule="auto"/>
        <w:ind w:firstLine="648"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spacing w:val="2"/>
          <w:sz w:val="32"/>
          <w:szCs w:val="32"/>
        </w:rPr>
        <w:t>7.推广应用情况</w:t>
      </w:r>
      <w:r>
        <w:rPr>
          <w:rFonts w:hint="eastAsia" w:ascii="仿宋" w:hAnsi="仿宋" w:eastAsia="仿宋" w:cs="仿宋"/>
          <w:b w:val="0"/>
          <w:bCs w:val="0"/>
          <w:color w:val="auto"/>
          <w:spacing w:val="2"/>
          <w:sz w:val="32"/>
          <w:szCs w:val="32"/>
          <w:lang w:eastAsia="zh-CN"/>
        </w:rPr>
        <w:t>：</w:t>
      </w:r>
      <w:r>
        <w:rPr>
          <w:rFonts w:hint="eastAsia" w:ascii="仿宋" w:hAnsi="仿宋" w:eastAsia="仿宋" w:cs="仿宋"/>
          <w:b w:val="0"/>
          <w:bCs w:val="0"/>
          <w:color w:val="auto"/>
          <w:kern w:val="0"/>
          <w:sz w:val="32"/>
          <w:szCs w:val="32"/>
          <w:lang w:val="en-US" w:eastAsia="zh-CN" w:bidi="ar"/>
        </w:rPr>
        <w:t>江西省内各大医院已购入电视纵隔镜，新余市人民医院已购入电视纵隔镜并顺利开展手术。省内多家医院已多次向我院讨教纵隔镜手术开展经验。通过进一步研究推广，在国内普及在局麻下应用肋间电视纵隔镜辅助分期多孔胸腔闭式引流术治疗COPD并难治性气胸，在国内大样本开展肺癌合并对侧纵隔淋巴结肿大患者行根治术同期应用电视纵隔镜辅助行对侧纵隔淋巴结清扫术，对该类患者是否收益大样本病例进行研究。</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default" w:ascii="仿宋" w:hAnsi="仿宋" w:eastAsia="仿宋" w:cs="仿宋"/>
          <w:b w:val="0"/>
          <w:bCs w:val="0"/>
          <w:color w:val="auto"/>
          <w:spacing w:val="2"/>
          <w:sz w:val="32"/>
          <w:szCs w:val="32"/>
          <w:lang w:val="en-US" w:eastAsia="zh-CN"/>
        </w:rPr>
      </w:pPr>
      <w:r>
        <w:rPr>
          <w:rFonts w:hint="eastAsia" w:ascii="仿宋" w:hAnsi="仿宋" w:eastAsia="仿宋" w:cs="仿宋"/>
          <w:b w:val="0"/>
          <w:bCs w:val="0"/>
          <w:color w:val="auto"/>
          <w:spacing w:val="2"/>
          <w:sz w:val="32"/>
          <w:szCs w:val="32"/>
        </w:rPr>
        <w:t>8.知识产权证明目录</w:t>
      </w:r>
      <w:r>
        <w:rPr>
          <w:rFonts w:hint="eastAsia" w:ascii="仿宋" w:hAnsi="仿宋" w:eastAsia="仿宋" w:cs="仿宋"/>
          <w:b w:val="0"/>
          <w:bCs w:val="0"/>
          <w:color w:val="auto"/>
          <w:spacing w:val="2"/>
          <w:sz w:val="32"/>
          <w:szCs w:val="32"/>
          <w:lang w:eastAsia="zh-CN"/>
        </w:rPr>
        <w:t>：</w:t>
      </w:r>
      <w:r>
        <w:rPr>
          <w:rFonts w:hint="eastAsia" w:ascii="仿宋" w:hAnsi="仿宋" w:eastAsia="仿宋" w:cs="仿宋"/>
          <w:b w:val="0"/>
          <w:bCs w:val="0"/>
          <w:color w:val="auto"/>
          <w:spacing w:val="2"/>
          <w:sz w:val="32"/>
          <w:szCs w:val="32"/>
          <w:lang w:val="en-US" w:eastAsia="zh-CN"/>
        </w:rPr>
        <w:t>无</w:t>
      </w:r>
    </w:p>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lang w:eastAsia="zh-CN"/>
        </w:rPr>
      </w:pPr>
      <w:r>
        <w:rPr>
          <w:rFonts w:hint="eastAsia" w:ascii="仿宋" w:hAnsi="仿宋" w:eastAsia="仿宋" w:cs="仿宋"/>
          <w:b w:val="0"/>
          <w:bCs w:val="0"/>
          <w:color w:val="auto"/>
          <w:spacing w:val="2"/>
          <w:sz w:val="32"/>
          <w:szCs w:val="32"/>
        </w:rPr>
        <w:t>9.代表性论文目录</w:t>
      </w:r>
      <w:r>
        <w:rPr>
          <w:rFonts w:hint="eastAsia" w:ascii="仿宋" w:hAnsi="仿宋" w:eastAsia="仿宋" w:cs="仿宋"/>
          <w:b w:val="0"/>
          <w:bCs w:val="0"/>
          <w:color w:val="auto"/>
          <w:spacing w:val="2"/>
          <w:sz w:val="32"/>
          <w:szCs w:val="32"/>
          <w:lang w:eastAsia="zh-CN"/>
        </w:rPr>
        <w:t>：</w:t>
      </w:r>
    </w:p>
    <w:p>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kern w:val="0"/>
          <w:sz w:val="32"/>
          <w:szCs w:val="32"/>
          <w:lang w:val="en-US" w:eastAsia="zh-CN" w:bidi="ar"/>
        </w:rPr>
      </w:pPr>
      <w:bookmarkStart w:id="0" w:name="_GoBack"/>
      <w:bookmarkEnd w:id="0"/>
      <w:r>
        <w:rPr>
          <w:rFonts w:hint="eastAsia" w:ascii="仿宋" w:hAnsi="仿宋" w:eastAsia="仿宋" w:cs="仿宋"/>
          <w:b w:val="0"/>
          <w:bCs w:val="0"/>
          <w:color w:val="auto"/>
          <w:kern w:val="0"/>
          <w:sz w:val="32"/>
          <w:szCs w:val="32"/>
          <w:lang w:val="en-US" w:eastAsia="zh-CN" w:bidi="ar"/>
        </w:rPr>
        <w:t>（1）纵隔镜的应用</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（2）电视纵隔镜检查在肺癌术前分期中的临床价值</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（3）电视纵隔镜治疗手汗症的临床分析</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（4）电视纵隔镜在胸部疑难疾病中的临床应用</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（5）电视纵隔镜在胸部疑难疾病诊断中的临床应用</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（6）肋间电视纵隔镜技术在胸部肿物诊断中的价值</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（7）电视纵隔镜检查术在诊断不明原因胸腔积液的临床应用</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（8）电视纵隔镜检查术的护理</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rPr>
      </w:pPr>
      <w:r>
        <w:rPr>
          <w:rFonts w:hint="eastAsia" w:ascii="仿宋" w:hAnsi="仿宋" w:eastAsia="仿宋" w:cs="仿宋"/>
          <w:b w:val="0"/>
          <w:bCs w:val="0"/>
          <w:color w:val="auto"/>
          <w:spacing w:val="2"/>
          <w:sz w:val="32"/>
          <w:szCs w:val="32"/>
        </w:rPr>
        <w:t>完成人情况</w:t>
      </w:r>
      <w:r>
        <w:rPr>
          <w:rFonts w:hint="eastAsia" w:ascii="仿宋" w:hAnsi="仿宋" w:eastAsia="仿宋" w:cs="仿宋"/>
          <w:b w:val="0"/>
          <w:bCs w:val="0"/>
          <w:color w:val="auto"/>
          <w:spacing w:val="2"/>
          <w:sz w:val="32"/>
          <w:szCs w:val="32"/>
          <w:lang w:eastAsia="zh-CN"/>
        </w:rPr>
        <w:t>：</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熊汉鹏 1 主任医师 院长 江西中医药大学附属医院：负责课题的设计、实施，对临床研究和实施过程中有关操作规程进行科学、严谨、规范的制定。对研究人员进行统一培训，熟悉掌握诊疗措施的实施方案，以提高研究人员的内部观察一致性和观察者间一致性，保证临床研究结论的可靠性。对研究全过程进行质量控制和监查，检查、确认所有研究数据的记录与报告以及病例报告表填写的正确与完整，保证与原始资料一致。制定详细的研究计划和进度安排、考核指标。</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熊国江 2 副主任医师 胸外科副主任 江西中医药大学附属医院：负责课题的设计、实施，对临床研究和实施过程中有关操作规程进行科学、严谨、规范的制定。对研究人员进行统一培训，熟悉掌握诊疗措施的实施方案，以提高研究人员的内部观察一致性和观察者间一致性，保证临床研究结论的可靠性。对研究全过程进行质量控制和监查，检查、确认所有研究数据的记录与报告以及病例报告表填写的正确与完整，保证与原始资料一致。制定详细的研究计划和进度安排、考核指标。</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谢  琰 3 主任护师 保健科科长 江西中医药大学附属医院：负责课题的设计、实施，对临床研究和实施过程中有关操作规程进行科学、严谨、规范的制定。对研究人员进行统一培训，熟悉掌握诊疗措施的实施方案，以提高研究人员的内部观察一致性和观察者间一致性，保证临床研究结论的可靠性。对研究全过程进行质量控制和监查，检查、确认所有研究数据的记录与报告以及病例报告表填写的正确与完整，保证与原始资料一致。制定详细的研究计划和进度安排、考核指标。</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刘小雄 4 主任医师 胸外科副主任 江西中医药大学附属医院：实施及临床研究参加研究人员统一培训班，熟悉掌握诊疗措施的实施方案，以提高研究人员的内部观察一致性和观察者间一致性，保证临床研究结论的可靠性。根据研究方案进行临床验证，客观地记录试验结果，接受质量监督员的检查和监督，对出现不良反应的患者给予妥善处理，并向课题负责人报告。</w:t>
      </w:r>
    </w:p>
    <w:p>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仿宋" w:hAnsi="仿宋" w:eastAsia="仿宋" w:cs="仿宋"/>
          <w:b w:val="0"/>
          <w:bCs w:val="0"/>
          <w:color w:val="auto"/>
          <w:spacing w:val="2"/>
          <w:sz w:val="32"/>
          <w:szCs w:val="32"/>
          <w:lang w:val="en-US" w:eastAsia="zh-CN"/>
        </w:rPr>
      </w:pPr>
      <w:r>
        <w:rPr>
          <w:rFonts w:hint="eastAsia" w:ascii="仿宋" w:hAnsi="仿宋" w:eastAsia="仿宋" w:cs="仿宋"/>
          <w:b w:val="0"/>
          <w:bCs w:val="0"/>
          <w:color w:val="auto"/>
          <w:kern w:val="0"/>
          <w:sz w:val="32"/>
          <w:szCs w:val="32"/>
          <w:lang w:val="en-US" w:eastAsia="zh-CN" w:bidi="ar"/>
        </w:rPr>
        <w:t>吕  伟 5 主治医师 胸外主治医师 江西中医药大学附属医院:</w:t>
      </w:r>
      <w:r>
        <w:rPr>
          <w:rFonts w:hint="eastAsia" w:ascii="仿宋" w:hAnsi="仿宋" w:eastAsia="仿宋" w:cs="仿宋"/>
          <w:b w:val="0"/>
          <w:bCs w:val="0"/>
          <w:color w:val="auto"/>
          <w:spacing w:val="2"/>
          <w:sz w:val="32"/>
          <w:szCs w:val="32"/>
          <w:lang w:val="en-US" w:eastAsia="zh-CN"/>
        </w:rPr>
        <w:t>参加研究人员统一培训班，熟悉掌握诊疗措施的实施方案，以提高研究人员的内部观察一致性和观察者间一致性，保证临床研究结论的可靠性。根据研究方案进行临床验证，客观地记录试验结果，接受质量监督员的检查和监督，对出现不良反应的患者给予妥善处理，并向课题负责人报告。</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left="0" w:leftChars="0" w:firstLine="648" w:firstLineChars="200"/>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spacing w:val="2"/>
          <w:sz w:val="32"/>
          <w:szCs w:val="32"/>
        </w:rPr>
        <w:t>完成单位情况</w:t>
      </w:r>
      <w:r>
        <w:rPr>
          <w:rFonts w:hint="eastAsia" w:ascii="仿宋" w:hAnsi="仿宋" w:eastAsia="仿宋" w:cs="仿宋"/>
          <w:b w:val="0"/>
          <w:bCs w:val="0"/>
          <w:color w:val="auto"/>
          <w:spacing w:val="2"/>
          <w:sz w:val="32"/>
          <w:szCs w:val="32"/>
          <w:lang w:val="en-US" w:eastAsia="zh-CN"/>
        </w:rPr>
        <w:t>:</w:t>
      </w:r>
      <w:r>
        <w:rPr>
          <w:rFonts w:hint="eastAsia" w:ascii="仿宋" w:hAnsi="仿宋" w:eastAsia="仿宋" w:cs="仿宋"/>
          <w:b w:val="0"/>
          <w:bCs w:val="0"/>
          <w:color w:val="auto"/>
          <w:kern w:val="0"/>
          <w:sz w:val="32"/>
          <w:szCs w:val="32"/>
          <w:lang w:val="en-US" w:eastAsia="zh-CN" w:bidi="ar"/>
        </w:rPr>
        <w:t xml:space="preserve">江西中医药大学附属医院  排名1 </w:t>
      </w:r>
    </w:p>
    <w:p>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江西中医药大学附属医院是课题负责单位，负责从试验设计、实施至统计分析总结的全过程。制订统一的临床研究方案和疗效评价标准；制订临床研究病历和受试者知情同意书；对所有参加临床试验的研究人员进行培训；对临床研究所得的研究数据进行分类归纳，并进行相应处理；对临床研究方案进行优选；撰写论文，结题报告并申请鉴定。并负责项目的推广应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AAA9FA"/>
    <w:multiLevelType w:val="singleLevel"/>
    <w:tmpl w:val="D5AAA9FA"/>
    <w:lvl w:ilvl="0" w:tentative="0">
      <w:start w:val="10"/>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33"/>
    <w:rsid w:val="00021C62"/>
    <w:rsid w:val="000B7570"/>
    <w:rsid w:val="00175351"/>
    <w:rsid w:val="00175E88"/>
    <w:rsid w:val="001B3EC4"/>
    <w:rsid w:val="001D02BD"/>
    <w:rsid w:val="00294EF0"/>
    <w:rsid w:val="002B294A"/>
    <w:rsid w:val="003109DA"/>
    <w:rsid w:val="0031524D"/>
    <w:rsid w:val="0032622D"/>
    <w:rsid w:val="0036237E"/>
    <w:rsid w:val="00374683"/>
    <w:rsid w:val="00377161"/>
    <w:rsid w:val="00437528"/>
    <w:rsid w:val="00484DBC"/>
    <w:rsid w:val="004856EB"/>
    <w:rsid w:val="004C45DF"/>
    <w:rsid w:val="00512CB2"/>
    <w:rsid w:val="00536C13"/>
    <w:rsid w:val="005419ED"/>
    <w:rsid w:val="00562879"/>
    <w:rsid w:val="005A3993"/>
    <w:rsid w:val="005B4DF0"/>
    <w:rsid w:val="00611213"/>
    <w:rsid w:val="006141F6"/>
    <w:rsid w:val="00616337"/>
    <w:rsid w:val="00654BBD"/>
    <w:rsid w:val="00667EFF"/>
    <w:rsid w:val="006764D3"/>
    <w:rsid w:val="006776A1"/>
    <w:rsid w:val="00680589"/>
    <w:rsid w:val="006A2D96"/>
    <w:rsid w:val="006E4899"/>
    <w:rsid w:val="007402A1"/>
    <w:rsid w:val="00790E30"/>
    <w:rsid w:val="007A186B"/>
    <w:rsid w:val="007D7522"/>
    <w:rsid w:val="0081709F"/>
    <w:rsid w:val="008326CC"/>
    <w:rsid w:val="00874213"/>
    <w:rsid w:val="008C0604"/>
    <w:rsid w:val="008C5074"/>
    <w:rsid w:val="00934D1F"/>
    <w:rsid w:val="00970F5A"/>
    <w:rsid w:val="0098238B"/>
    <w:rsid w:val="00982B04"/>
    <w:rsid w:val="009834A9"/>
    <w:rsid w:val="009949ED"/>
    <w:rsid w:val="009D0433"/>
    <w:rsid w:val="00A3359E"/>
    <w:rsid w:val="00A44D03"/>
    <w:rsid w:val="00A85D6C"/>
    <w:rsid w:val="00AA7182"/>
    <w:rsid w:val="00BE5FAF"/>
    <w:rsid w:val="00BF3C39"/>
    <w:rsid w:val="00C36973"/>
    <w:rsid w:val="00C858A4"/>
    <w:rsid w:val="00CC3D85"/>
    <w:rsid w:val="00D223A7"/>
    <w:rsid w:val="00D855F9"/>
    <w:rsid w:val="00DC2EA3"/>
    <w:rsid w:val="00DF45D8"/>
    <w:rsid w:val="00DF66A4"/>
    <w:rsid w:val="00DF6728"/>
    <w:rsid w:val="00DF6C0A"/>
    <w:rsid w:val="00E920E0"/>
    <w:rsid w:val="00F11581"/>
    <w:rsid w:val="00F256A1"/>
    <w:rsid w:val="00F4361E"/>
    <w:rsid w:val="00F64375"/>
    <w:rsid w:val="00F965C8"/>
    <w:rsid w:val="00FA6A9C"/>
    <w:rsid w:val="00FB3D9F"/>
    <w:rsid w:val="00FE3682"/>
    <w:rsid w:val="0494039C"/>
    <w:rsid w:val="16D32848"/>
    <w:rsid w:val="1A0805BF"/>
    <w:rsid w:val="1EF81127"/>
    <w:rsid w:val="238030D9"/>
    <w:rsid w:val="2AE32CE1"/>
    <w:rsid w:val="2B0E1D3D"/>
    <w:rsid w:val="2B3E3C98"/>
    <w:rsid w:val="358507E4"/>
    <w:rsid w:val="3BDE152F"/>
    <w:rsid w:val="47345DB1"/>
    <w:rsid w:val="514D1296"/>
    <w:rsid w:val="555E2E15"/>
    <w:rsid w:val="58C54D80"/>
    <w:rsid w:val="60C95C10"/>
    <w:rsid w:val="6C9466C2"/>
    <w:rsid w:val="71DD35CE"/>
    <w:rsid w:val="7FED7D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0"/>
    <w:qFormat/>
    <w:uiPriority w:val="0"/>
    <w:pPr>
      <w:spacing w:line="360" w:lineRule="auto"/>
      <w:ind w:firstLine="480" w:firstLineChars="200"/>
    </w:pPr>
    <w:rPr>
      <w:rFonts w:ascii="仿宋_GB2312"/>
      <w:sz w:val="24"/>
    </w:rPr>
  </w:style>
  <w:style w:type="paragraph" w:styleId="3">
    <w:name w:val="Balloon Text"/>
    <w:basedOn w:val="1"/>
    <w:link w:val="21"/>
    <w:semiHidden/>
    <w:unhideWhenUsed/>
    <w:qFormat/>
    <w:uiPriority w:val="99"/>
    <w:rPr>
      <w:sz w:val="18"/>
      <w:szCs w:val="18"/>
    </w:rPr>
  </w:style>
  <w:style w:type="paragraph" w:styleId="4">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HTML Preformatted"/>
    <w:basedOn w:val="1"/>
    <w:semiHidden/>
    <w:unhideWhenUsed/>
    <w:qFormat/>
    <w:uiPriority w:val="99"/>
    <w:pPr>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ascii="Courier New" w:hAnsi="Courier New" w:eastAsia="Courier New" w:cs="Courier New"/>
      <w:kern w:val="0"/>
      <w:sz w:val="24"/>
      <w:szCs w:val="24"/>
      <w:lang w:val="en-US" w:eastAsia="zh-CN" w:bidi="ar"/>
    </w:rPr>
  </w:style>
  <w:style w:type="character" w:styleId="9">
    <w:name w:val="FollowedHyperlink"/>
    <w:basedOn w:val="8"/>
    <w:semiHidden/>
    <w:unhideWhenUsed/>
    <w:qFormat/>
    <w:uiPriority w:val="99"/>
    <w:rPr>
      <w:color w:val="222222"/>
      <w:u w:val="none"/>
    </w:rPr>
  </w:style>
  <w:style w:type="character" w:styleId="10">
    <w:name w:val="Emphasis"/>
    <w:basedOn w:val="8"/>
    <w:qFormat/>
    <w:uiPriority w:val="20"/>
  </w:style>
  <w:style w:type="character" w:styleId="11">
    <w:name w:val="HTML Definition"/>
    <w:basedOn w:val="8"/>
    <w:semiHidden/>
    <w:unhideWhenUsed/>
    <w:qFormat/>
    <w:uiPriority w:val="99"/>
  </w:style>
  <w:style w:type="character" w:styleId="12">
    <w:name w:val="HTML Variable"/>
    <w:basedOn w:val="8"/>
    <w:semiHidden/>
    <w:unhideWhenUsed/>
    <w:qFormat/>
    <w:uiPriority w:val="99"/>
  </w:style>
  <w:style w:type="character" w:styleId="13">
    <w:name w:val="Hyperlink"/>
    <w:basedOn w:val="8"/>
    <w:semiHidden/>
    <w:unhideWhenUsed/>
    <w:qFormat/>
    <w:uiPriority w:val="99"/>
    <w:rPr>
      <w:color w:val="222222"/>
      <w:u w:val="none"/>
    </w:rPr>
  </w:style>
  <w:style w:type="character" w:styleId="14">
    <w:name w:val="HTML Code"/>
    <w:basedOn w:val="8"/>
    <w:semiHidden/>
    <w:unhideWhenUsed/>
    <w:qFormat/>
    <w:uiPriority w:val="99"/>
    <w:rPr>
      <w:rFonts w:ascii="Courier New" w:hAnsi="Courier New" w:eastAsia="Courier New" w:cs="Courier New"/>
      <w:sz w:val="20"/>
    </w:rPr>
  </w:style>
  <w:style w:type="character" w:styleId="15">
    <w:name w:val="HTML Cite"/>
    <w:basedOn w:val="8"/>
    <w:semiHidden/>
    <w:unhideWhenUsed/>
    <w:qFormat/>
    <w:uiPriority w:val="99"/>
  </w:style>
  <w:style w:type="character" w:styleId="16">
    <w:name w:val="HTML Keyboard"/>
    <w:basedOn w:val="8"/>
    <w:semiHidden/>
    <w:unhideWhenUsed/>
    <w:qFormat/>
    <w:uiPriority w:val="99"/>
    <w:rPr>
      <w:rFonts w:hint="default" w:ascii="Courier New" w:hAnsi="Courier New" w:eastAsia="Courier New" w:cs="Courier New"/>
      <w:sz w:val="20"/>
    </w:rPr>
  </w:style>
  <w:style w:type="character" w:styleId="17">
    <w:name w:val="HTML Sample"/>
    <w:basedOn w:val="8"/>
    <w:semiHidden/>
    <w:unhideWhenUsed/>
    <w:qFormat/>
    <w:uiPriority w:val="99"/>
    <w:rPr>
      <w:rFonts w:hint="default" w:ascii="Courier New" w:hAnsi="Courier New" w:eastAsia="Courier New" w:cs="Courier New"/>
    </w:rPr>
  </w:style>
  <w:style w:type="character" w:customStyle="1" w:styleId="18">
    <w:name w:val="页眉 Char"/>
    <w:basedOn w:val="8"/>
    <w:link w:val="5"/>
    <w:qFormat/>
    <w:uiPriority w:val="99"/>
    <w:rPr>
      <w:sz w:val="18"/>
      <w:szCs w:val="18"/>
    </w:rPr>
  </w:style>
  <w:style w:type="character" w:customStyle="1" w:styleId="19">
    <w:name w:val="页脚 Char"/>
    <w:basedOn w:val="8"/>
    <w:link w:val="4"/>
    <w:qFormat/>
    <w:uiPriority w:val="99"/>
    <w:rPr>
      <w:sz w:val="18"/>
      <w:szCs w:val="18"/>
    </w:rPr>
  </w:style>
  <w:style w:type="character" w:customStyle="1" w:styleId="20">
    <w:name w:val="纯文本 Char"/>
    <w:basedOn w:val="8"/>
    <w:link w:val="2"/>
    <w:qFormat/>
    <w:uiPriority w:val="0"/>
    <w:rPr>
      <w:rFonts w:ascii="仿宋_GB2312" w:hAnsi="Times New Roman" w:eastAsia="宋体" w:cs="Times New Roman"/>
      <w:sz w:val="24"/>
      <w:szCs w:val="20"/>
    </w:rPr>
  </w:style>
  <w:style w:type="character" w:customStyle="1" w:styleId="21">
    <w:name w:val="批注框文本 Char"/>
    <w:basedOn w:val="8"/>
    <w:link w:val="3"/>
    <w:semiHidden/>
    <w:qFormat/>
    <w:uiPriority w:val="99"/>
    <w:rPr>
      <w:rFonts w:ascii="Times New Roman" w:hAnsi="Times New Roman" w:eastAsia="宋体" w:cs="Times New Roman"/>
      <w:sz w:val="18"/>
      <w:szCs w:val="18"/>
    </w:rPr>
  </w:style>
  <w:style w:type="paragraph" w:styleId="22">
    <w:name w:val="List Paragraph"/>
    <w:basedOn w:val="1"/>
    <w:qFormat/>
    <w:uiPriority w:val="34"/>
    <w:pPr>
      <w:ind w:firstLine="420" w:firstLineChars="200"/>
    </w:pPr>
  </w:style>
  <w:style w:type="character" w:customStyle="1" w:styleId="23">
    <w:name w:val="ui-icon-arrowthick-2-n-s"/>
    <w:basedOn w:val="8"/>
    <w:qFormat/>
    <w:uiPriority w:val="0"/>
  </w:style>
  <w:style w:type="character" w:customStyle="1" w:styleId="24">
    <w:name w:val="ui-icon"/>
    <w:basedOn w:val="8"/>
    <w:qFormat/>
    <w:uiPriority w:val="0"/>
  </w:style>
  <w:style w:type="character" w:customStyle="1" w:styleId="25">
    <w:name w:val="ui-icon34"/>
    <w:basedOn w:val="8"/>
    <w:qFormat/>
    <w:uiPriority w:val="0"/>
  </w:style>
  <w:style w:type="character" w:customStyle="1" w:styleId="26">
    <w:name w:val="ui-icon-arrowthick-2-n-s2"/>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广东省医学会</Company>
  <Pages>2</Pages>
  <Words>94</Words>
  <Characters>538</Characters>
  <Lines>4</Lines>
  <Paragraphs>1</Paragraphs>
  <TotalTime>37</TotalTime>
  <ScaleCrop>false</ScaleCrop>
  <LinksUpToDate>false</LinksUpToDate>
  <CharactersWithSpaces>631</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2018-10-30T06:18:00Z</dcterms:created>
  <dc:creator>lenovo</dc:creator>
  <cp:lastModifiedBy>vivi</cp:lastModifiedBy>
  <cp:lastPrinted>2018-11-08T06:41:00Z</cp:lastPrinted>
  <dcterms:modified xsi:type="dcterms:W3CDTF">2020-06-24T07:34:33Z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