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502A0" w:rsidRPr="002502A0">
        <w:trPr>
          <w:tblCellSpacing w:w="0" w:type="dxa"/>
          <w:jc w:val="center"/>
        </w:trPr>
        <w:tc>
          <w:tcPr>
            <w:tcW w:w="0" w:type="auto"/>
            <w:tcMar>
              <w:top w:w="30" w:type="dxa"/>
              <w:left w:w="0" w:type="dxa"/>
              <w:bottom w:w="150" w:type="dxa"/>
              <w:right w:w="0" w:type="dxa"/>
            </w:tcMar>
            <w:vAlign w:val="center"/>
            <w:hideMark/>
          </w:tcPr>
          <w:p w:rsidR="002502A0" w:rsidRPr="002502A0" w:rsidRDefault="002502A0" w:rsidP="002502A0">
            <w:pPr>
              <w:widowControl/>
              <w:spacing w:line="360" w:lineRule="auto"/>
              <w:jc w:val="center"/>
              <w:rPr>
                <w:rFonts w:ascii="ˎ̥" w:eastAsia="宋体" w:hAnsi="ˎ̥" w:cs="Arial"/>
                <w:b/>
                <w:bCs/>
                <w:color w:val="093A96"/>
                <w:kern w:val="0"/>
                <w:sz w:val="33"/>
                <w:szCs w:val="33"/>
              </w:rPr>
            </w:pPr>
            <w:r w:rsidRPr="002502A0">
              <w:rPr>
                <w:rFonts w:ascii="ˎ̥" w:eastAsia="宋体" w:hAnsi="ˎ̥" w:cs="Arial"/>
                <w:b/>
                <w:bCs/>
                <w:color w:val="093A96"/>
                <w:kern w:val="0"/>
                <w:sz w:val="33"/>
                <w:szCs w:val="33"/>
              </w:rPr>
              <w:t>《</w:t>
            </w:r>
            <w:bookmarkStart w:id="0" w:name="_GoBack"/>
            <w:r w:rsidRPr="002502A0">
              <w:rPr>
                <w:rFonts w:ascii="ˎ̥" w:eastAsia="宋体" w:hAnsi="ˎ̥" w:cs="Arial"/>
                <w:b/>
                <w:bCs/>
                <w:color w:val="093A96"/>
                <w:kern w:val="0"/>
                <w:sz w:val="33"/>
                <w:szCs w:val="33"/>
              </w:rPr>
              <w:t>体外诊断试剂注册管理办法</w:t>
            </w:r>
            <w:bookmarkEnd w:id="0"/>
            <w:r w:rsidRPr="002502A0">
              <w:rPr>
                <w:rFonts w:ascii="ˎ̥" w:eastAsia="宋体" w:hAnsi="ˎ̥" w:cs="Arial"/>
                <w:b/>
                <w:bCs/>
                <w:color w:val="093A96"/>
                <w:kern w:val="0"/>
                <w:sz w:val="33"/>
                <w:szCs w:val="33"/>
              </w:rPr>
              <w:t>》（国家食品药品监督管理总局令第</w:t>
            </w:r>
            <w:r w:rsidRPr="002502A0">
              <w:rPr>
                <w:rFonts w:ascii="ˎ̥" w:eastAsia="宋体" w:hAnsi="ˎ̥" w:cs="Arial"/>
                <w:b/>
                <w:bCs/>
                <w:color w:val="093A96"/>
                <w:kern w:val="0"/>
                <w:sz w:val="33"/>
                <w:szCs w:val="33"/>
              </w:rPr>
              <w:t>5</w:t>
            </w:r>
            <w:r w:rsidRPr="002502A0">
              <w:rPr>
                <w:rFonts w:ascii="ˎ̥" w:eastAsia="宋体" w:hAnsi="ˎ̥" w:cs="Arial"/>
                <w:b/>
                <w:bCs/>
                <w:color w:val="093A96"/>
                <w:kern w:val="0"/>
                <w:sz w:val="33"/>
                <w:szCs w:val="33"/>
              </w:rPr>
              <w:t>号）</w:t>
            </w:r>
            <w:r w:rsidRPr="002502A0">
              <w:rPr>
                <w:rFonts w:ascii="ˎ̥" w:eastAsia="宋体" w:hAnsi="ˎ̥" w:cs="Arial"/>
                <w:b/>
                <w:bCs/>
                <w:color w:val="093A96"/>
                <w:kern w:val="0"/>
                <w:sz w:val="33"/>
                <w:szCs w:val="33"/>
              </w:rPr>
              <w:t xml:space="preserve"> </w:t>
            </w:r>
          </w:p>
        </w:tc>
      </w:tr>
      <w:tr w:rsidR="002502A0" w:rsidRPr="002502A0">
        <w:trPr>
          <w:tblCellSpacing w:w="0" w:type="dxa"/>
          <w:jc w:val="center"/>
        </w:trPr>
        <w:tc>
          <w:tcPr>
            <w:tcW w:w="0" w:type="auto"/>
            <w:vAlign w:val="center"/>
            <w:hideMark/>
          </w:tcPr>
          <w:p w:rsidR="002502A0" w:rsidRPr="002502A0" w:rsidRDefault="002502A0" w:rsidP="002502A0">
            <w:pPr>
              <w:widowControl/>
              <w:spacing w:line="480" w:lineRule="auto"/>
              <w:jc w:val="center"/>
              <w:rPr>
                <w:rFonts w:ascii="ˎ̥" w:eastAsia="宋体" w:hAnsi="ˎ̥" w:cs="Arial"/>
                <w:b/>
                <w:bCs/>
                <w:color w:val="093A96"/>
                <w:kern w:val="0"/>
                <w:sz w:val="27"/>
                <w:szCs w:val="27"/>
              </w:rPr>
            </w:pPr>
          </w:p>
        </w:tc>
      </w:tr>
      <w:tr w:rsidR="002502A0" w:rsidRPr="002502A0">
        <w:trPr>
          <w:tblCellSpacing w:w="0" w:type="dxa"/>
          <w:jc w:val="center"/>
        </w:trPr>
        <w:tc>
          <w:tcPr>
            <w:tcW w:w="0" w:type="auto"/>
            <w:tcMar>
              <w:top w:w="120" w:type="dxa"/>
              <w:left w:w="0" w:type="dxa"/>
              <w:bottom w:w="0" w:type="dxa"/>
              <w:right w:w="0" w:type="dxa"/>
            </w:tcMar>
            <w:vAlign w:val="center"/>
            <w:hideMark/>
          </w:tcPr>
          <w:p w:rsidR="002502A0" w:rsidRPr="002502A0" w:rsidRDefault="002502A0" w:rsidP="002502A0">
            <w:pPr>
              <w:widowControl/>
              <w:spacing w:line="360" w:lineRule="auto"/>
              <w:jc w:val="right"/>
              <w:rPr>
                <w:rFonts w:ascii="ˎ̥" w:eastAsia="宋体" w:hAnsi="ˎ̥" w:cs="Arial"/>
                <w:color w:val="919191"/>
                <w:kern w:val="0"/>
                <w:szCs w:val="21"/>
              </w:rPr>
            </w:pPr>
            <w:r w:rsidRPr="002502A0">
              <w:rPr>
                <w:rFonts w:ascii="ˎ̥" w:eastAsia="宋体" w:hAnsi="ˎ̥" w:cs="Arial"/>
                <w:color w:val="919191"/>
                <w:kern w:val="0"/>
                <w:szCs w:val="21"/>
              </w:rPr>
              <w:t>2014</w:t>
            </w:r>
            <w:r w:rsidRPr="002502A0">
              <w:rPr>
                <w:rFonts w:ascii="ˎ̥" w:eastAsia="宋体" w:hAnsi="ˎ̥" w:cs="Arial"/>
                <w:color w:val="919191"/>
                <w:kern w:val="0"/>
                <w:szCs w:val="21"/>
              </w:rPr>
              <w:t>年</w:t>
            </w:r>
            <w:r w:rsidRPr="002502A0">
              <w:rPr>
                <w:rFonts w:ascii="ˎ̥" w:eastAsia="宋体" w:hAnsi="ˎ̥" w:cs="Arial"/>
                <w:color w:val="919191"/>
                <w:kern w:val="0"/>
                <w:szCs w:val="21"/>
              </w:rPr>
              <w:t>07</w:t>
            </w:r>
            <w:r w:rsidRPr="002502A0">
              <w:rPr>
                <w:rFonts w:ascii="ˎ̥" w:eastAsia="宋体" w:hAnsi="ˎ̥" w:cs="Arial"/>
                <w:color w:val="919191"/>
                <w:kern w:val="0"/>
                <w:szCs w:val="21"/>
              </w:rPr>
              <w:t>月</w:t>
            </w:r>
            <w:r w:rsidRPr="002502A0">
              <w:rPr>
                <w:rFonts w:ascii="ˎ̥" w:eastAsia="宋体" w:hAnsi="ˎ̥" w:cs="Arial"/>
                <w:color w:val="919191"/>
                <w:kern w:val="0"/>
                <w:szCs w:val="21"/>
              </w:rPr>
              <w:t>30</w:t>
            </w:r>
            <w:r w:rsidRPr="002502A0">
              <w:rPr>
                <w:rFonts w:ascii="ˎ̥" w:eastAsia="宋体" w:hAnsi="ˎ̥" w:cs="Arial"/>
                <w:color w:val="919191"/>
                <w:kern w:val="0"/>
                <w:szCs w:val="21"/>
              </w:rPr>
              <w:t>日</w:t>
            </w:r>
            <w:r w:rsidRPr="002502A0">
              <w:rPr>
                <w:rFonts w:ascii="ˎ̥" w:eastAsia="宋体" w:hAnsi="ˎ̥" w:cs="Arial"/>
                <w:color w:val="919191"/>
                <w:kern w:val="0"/>
                <w:szCs w:val="21"/>
              </w:rPr>
              <w:t xml:space="preserve"> </w:t>
            </w:r>
            <w:r w:rsidRPr="002502A0">
              <w:rPr>
                <w:rFonts w:ascii="ˎ̥" w:eastAsia="宋体" w:hAnsi="ˎ̥" w:cs="Arial"/>
                <w:color w:val="919191"/>
                <w:kern w:val="0"/>
                <w:szCs w:val="21"/>
              </w:rPr>
              <w:t>发布</w:t>
            </w:r>
            <w:r w:rsidRPr="002502A0">
              <w:rPr>
                <w:rFonts w:ascii="ˎ̥" w:eastAsia="宋体" w:hAnsi="ˎ̥" w:cs="Arial"/>
                <w:color w:val="919191"/>
                <w:kern w:val="0"/>
                <w:szCs w:val="21"/>
              </w:rPr>
              <w:t xml:space="preserve"> </w:t>
            </w:r>
          </w:p>
        </w:tc>
      </w:tr>
      <w:tr w:rsidR="002502A0" w:rsidRPr="002502A0">
        <w:trPr>
          <w:trHeight w:val="60"/>
          <w:tblCellSpacing w:w="0" w:type="dxa"/>
          <w:jc w:val="center"/>
        </w:trPr>
        <w:tc>
          <w:tcPr>
            <w:tcW w:w="5000" w:type="pct"/>
            <w:vAlign w:val="center"/>
            <w:hideMark/>
          </w:tcPr>
          <w:p w:rsidR="002502A0" w:rsidRPr="002502A0" w:rsidRDefault="002502A0" w:rsidP="002502A0">
            <w:pPr>
              <w:widowControl/>
              <w:spacing w:line="408" w:lineRule="auto"/>
              <w:jc w:val="center"/>
              <w:rPr>
                <w:rFonts w:ascii="ˎ̥" w:eastAsia="宋体" w:hAnsi="ˎ̥" w:cs="Arial"/>
                <w:color w:val="000000"/>
                <w:kern w:val="0"/>
                <w:sz w:val="6"/>
                <w:szCs w:val="18"/>
              </w:rPr>
            </w:pPr>
          </w:p>
        </w:tc>
      </w:tr>
      <w:tr w:rsidR="002502A0" w:rsidRPr="002502A0">
        <w:trPr>
          <w:tblCellSpacing w:w="0" w:type="dxa"/>
          <w:jc w:val="center"/>
        </w:trPr>
        <w:tc>
          <w:tcPr>
            <w:tcW w:w="0" w:type="auto"/>
            <w:tcMar>
              <w:top w:w="300" w:type="dxa"/>
              <w:left w:w="0" w:type="dxa"/>
              <w:bottom w:w="0" w:type="dxa"/>
              <w:right w:w="0" w:type="dxa"/>
            </w:tcMar>
            <w:vAlign w:val="center"/>
            <w:hideMark/>
          </w:tcPr>
          <w:p w:rsidR="002502A0" w:rsidRPr="002502A0" w:rsidRDefault="002502A0" w:rsidP="002502A0">
            <w:pPr>
              <w:widowControl/>
              <w:spacing w:before="100" w:beforeAutospacing="1" w:after="240" w:line="480" w:lineRule="auto"/>
              <w:ind w:firstLine="630"/>
              <w:jc w:val="center"/>
              <w:rPr>
                <w:rFonts w:ascii="ˎ̥" w:eastAsia="宋体" w:hAnsi="ˎ̥" w:cs="Arial"/>
                <w:color w:val="000000"/>
                <w:kern w:val="0"/>
                <w:szCs w:val="21"/>
              </w:rPr>
            </w:pPr>
            <w:r w:rsidRPr="002502A0">
              <w:rPr>
                <w:rFonts w:ascii="宋体" w:eastAsia="宋体" w:hAnsi="宋体" w:cs="Arial" w:hint="eastAsia"/>
                <w:b/>
                <w:bCs/>
                <w:color w:val="FF0000"/>
                <w:kern w:val="0"/>
                <w:sz w:val="48"/>
                <w:szCs w:val="48"/>
              </w:rPr>
              <w:t>国家食品药品监督管理总局令</w:t>
            </w:r>
            <w:r w:rsidRPr="002502A0">
              <w:rPr>
                <w:rFonts w:ascii="ˎ̥" w:eastAsia="宋体" w:hAnsi="ˎ̥" w:cs="Arial"/>
                <w:b/>
                <w:bCs/>
                <w:color w:val="FF0000"/>
                <w:kern w:val="0"/>
                <w:sz w:val="18"/>
                <w:szCs w:val="18"/>
              </w:rPr>
              <w:br/>
            </w:r>
            <w:r w:rsidRPr="002502A0">
              <w:rPr>
                <w:rFonts w:ascii="ˎ̥" w:eastAsia="宋体" w:hAnsi="ˎ̥" w:cs="Arial"/>
                <w:color w:val="000000"/>
                <w:kern w:val="0"/>
                <w:sz w:val="18"/>
                <w:szCs w:val="18"/>
              </w:rPr>
              <w:br/>
            </w:r>
            <w:r w:rsidRPr="002502A0">
              <w:rPr>
                <w:rFonts w:ascii="ˎ̥" w:eastAsia="宋体" w:hAnsi="ˎ̥" w:cs="Arial"/>
                <w:color w:val="000000"/>
                <w:kern w:val="0"/>
                <w:sz w:val="18"/>
                <w:szCs w:val="18"/>
              </w:rPr>
              <w:br/>
            </w:r>
            <w:r w:rsidRPr="002502A0">
              <w:rPr>
                <w:rFonts w:ascii="宋体" w:eastAsia="宋体" w:hAnsi="宋体" w:cs="Arial" w:hint="eastAsia"/>
                <w:color w:val="000000"/>
                <w:kern w:val="0"/>
                <w:sz w:val="24"/>
                <w:szCs w:val="24"/>
              </w:rPr>
              <w:t>第 5 号</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《体外诊断试剂注册管理办法》已于</w:t>
            </w:r>
            <w:r w:rsidRPr="002502A0">
              <w:rPr>
                <w:rFonts w:ascii="ˎ̥" w:eastAsia="宋体" w:hAnsi="ˎ̥" w:cs="Arial"/>
                <w:color w:val="000000"/>
                <w:kern w:val="0"/>
                <w:szCs w:val="21"/>
              </w:rPr>
              <w:t>2014</w:t>
            </w:r>
            <w:r w:rsidRPr="002502A0">
              <w:rPr>
                <w:rFonts w:ascii="ˎ̥" w:eastAsia="宋体" w:hAnsi="ˎ̥" w:cs="Arial"/>
                <w:color w:val="000000"/>
                <w:kern w:val="0"/>
                <w:szCs w:val="21"/>
              </w:rPr>
              <w:t>年</w:t>
            </w:r>
            <w:r w:rsidRPr="002502A0">
              <w:rPr>
                <w:rFonts w:ascii="ˎ̥" w:eastAsia="宋体" w:hAnsi="ˎ̥" w:cs="Arial"/>
                <w:color w:val="000000"/>
                <w:kern w:val="0"/>
                <w:szCs w:val="21"/>
              </w:rPr>
              <w:t>6</w:t>
            </w:r>
            <w:r w:rsidRPr="002502A0">
              <w:rPr>
                <w:rFonts w:ascii="ˎ̥" w:eastAsia="宋体" w:hAnsi="ˎ̥" w:cs="Arial"/>
                <w:color w:val="000000"/>
                <w:kern w:val="0"/>
                <w:szCs w:val="21"/>
              </w:rPr>
              <w:t>月</w:t>
            </w:r>
            <w:r w:rsidRPr="002502A0">
              <w:rPr>
                <w:rFonts w:ascii="ˎ̥" w:eastAsia="宋体" w:hAnsi="ˎ̥" w:cs="Arial"/>
                <w:color w:val="000000"/>
                <w:kern w:val="0"/>
                <w:szCs w:val="21"/>
              </w:rPr>
              <w:t>27</w:t>
            </w:r>
            <w:r w:rsidRPr="002502A0">
              <w:rPr>
                <w:rFonts w:ascii="ˎ̥" w:eastAsia="宋体" w:hAnsi="ˎ̥" w:cs="Arial"/>
                <w:color w:val="000000"/>
                <w:kern w:val="0"/>
                <w:szCs w:val="21"/>
              </w:rPr>
              <w:t>日经国家食品药品监督管理总局局务会议审议通过，现予公布，自</w:t>
            </w:r>
            <w:r w:rsidRPr="002502A0">
              <w:rPr>
                <w:rFonts w:ascii="ˎ̥" w:eastAsia="宋体" w:hAnsi="ˎ̥" w:cs="Arial"/>
                <w:color w:val="000000"/>
                <w:kern w:val="0"/>
                <w:szCs w:val="21"/>
              </w:rPr>
              <w:t>2014</w:t>
            </w:r>
            <w:r w:rsidRPr="002502A0">
              <w:rPr>
                <w:rFonts w:ascii="ˎ̥" w:eastAsia="宋体" w:hAnsi="ˎ̥" w:cs="Arial"/>
                <w:color w:val="000000"/>
                <w:kern w:val="0"/>
                <w:szCs w:val="21"/>
              </w:rPr>
              <w:t>年</w:t>
            </w:r>
            <w:r w:rsidRPr="002502A0">
              <w:rPr>
                <w:rFonts w:ascii="ˎ̥" w:eastAsia="宋体" w:hAnsi="ˎ̥" w:cs="Arial"/>
                <w:color w:val="000000"/>
                <w:kern w:val="0"/>
                <w:szCs w:val="21"/>
              </w:rPr>
              <w:t>10</w:t>
            </w:r>
            <w:r w:rsidRPr="002502A0">
              <w:rPr>
                <w:rFonts w:ascii="ˎ̥" w:eastAsia="宋体" w:hAnsi="ˎ̥" w:cs="Arial"/>
                <w:color w:val="000000"/>
                <w:kern w:val="0"/>
                <w:szCs w:val="21"/>
              </w:rPr>
              <w:t>月</w:t>
            </w:r>
            <w:r w:rsidRPr="002502A0">
              <w:rPr>
                <w:rFonts w:ascii="ˎ̥" w:eastAsia="宋体" w:hAnsi="ˎ̥" w:cs="Arial"/>
                <w:color w:val="000000"/>
                <w:kern w:val="0"/>
                <w:szCs w:val="21"/>
              </w:rPr>
              <w:t>1</w:t>
            </w:r>
            <w:r w:rsidRPr="002502A0">
              <w:rPr>
                <w:rFonts w:ascii="ˎ̥" w:eastAsia="宋体" w:hAnsi="ˎ̥" w:cs="Arial"/>
                <w:color w:val="000000"/>
                <w:kern w:val="0"/>
                <w:szCs w:val="21"/>
              </w:rPr>
              <w:t>日起施行。</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局　</w:t>
            </w:r>
            <w:proofErr w:type="gramStart"/>
            <w:r w:rsidRPr="002502A0">
              <w:rPr>
                <w:rFonts w:ascii="ˎ̥" w:eastAsia="宋体" w:hAnsi="ˎ̥" w:cs="Arial"/>
                <w:color w:val="000000"/>
                <w:kern w:val="0"/>
                <w:szCs w:val="21"/>
              </w:rPr>
              <w:t xml:space="preserve">长　　</w:t>
            </w:r>
            <w:proofErr w:type="gramEnd"/>
            <w:r w:rsidRPr="002502A0">
              <w:rPr>
                <w:rFonts w:ascii="ˎ̥" w:eastAsia="宋体" w:hAnsi="ˎ̥" w:cs="Arial"/>
                <w:color w:val="000000"/>
                <w:kern w:val="0"/>
                <w:szCs w:val="21"/>
              </w:rPr>
              <w:t>张勇</w:t>
            </w:r>
            <w:r w:rsidRPr="002502A0">
              <w:rPr>
                <w:rFonts w:ascii="ˎ̥" w:eastAsia="宋体" w:hAnsi="ˎ̥" w:cs="Arial"/>
                <w:color w:val="000000"/>
                <w:kern w:val="0"/>
                <w:sz w:val="18"/>
                <w:szCs w:val="18"/>
              </w:rPr>
              <w:br/>
            </w:r>
            <w:proofErr w:type="gramStart"/>
            <w:r w:rsidRPr="002502A0">
              <w:rPr>
                <w:rFonts w:ascii="ˎ̥" w:eastAsia="宋体" w:hAnsi="ˎ̥" w:cs="Arial"/>
                <w:color w:val="000000"/>
                <w:kern w:val="0"/>
                <w:szCs w:val="21"/>
              </w:rPr>
              <w:t xml:space="preserve">　　　　　　　　　　　　　　　　　　　　　　　　　　　　　　　　　　　　　　　</w:t>
            </w:r>
            <w:proofErr w:type="gramEnd"/>
            <w:r w:rsidRPr="002502A0">
              <w:rPr>
                <w:rFonts w:ascii="ˎ̥" w:eastAsia="宋体" w:hAnsi="ˎ̥" w:cs="Arial"/>
                <w:color w:val="000000"/>
                <w:kern w:val="0"/>
                <w:szCs w:val="21"/>
              </w:rPr>
              <w:t xml:space="preserve"> 2014</w:t>
            </w:r>
            <w:r w:rsidRPr="002502A0">
              <w:rPr>
                <w:rFonts w:ascii="ˎ̥" w:eastAsia="宋体" w:hAnsi="ˎ̥" w:cs="Arial"/>
                <w:color w:val="000000"/>
                <w:kern w:val="0"/>
                <w:szCs w:val="21"/>
              </w:rPr>
              <w:t>年</w:t>
            </w:r>
            <w:r w:rsidRPr="002502A0">
              <w:rPr>
                <w:rFonts w:ascii="ˎ̥" w:eastAsia="宋体" w:hAnsi="ˎ̥" w:cs="Arial"/>
                <w:color w:val="000000"/>
                <w:kern w:val="0"/>
                <w:szCs w:val="21"/>
              </w:rPr>
              <w:t>7</w:t>
            </w:r>
            <w:r w:rsidRPr="002502A0">
              <w:rPr>
                <w:rFonts w:ascii="ˎ̥" w:eastAsia="宋体" w:hAnsi="ˎ̥" w:cs="Arial"/>
                <w:color w:val="000000"/>
                <w:kern w:val="0"/>
                <w:szCs w:val="21"/>
              </w:rPr>
              <w:t>月</w:t>
            </w:r>
            <w:r w:rsidRPr="002502A0">
              <w:rPr>
                <w:rFonts w:ascii="ˎ̥" w:eastAsia="宋体" w:hAnsi="ˎ̥" w:cs="Arial"/>
                <w:color w:val="000000"/>
                <w:kern w:val="0"/>
                <w:szCs w:val="21"/>
              </w:rPr>
              <w:t>30</w:t>
            </w:r>
            <w:r w:rsidRPr="002502A0">
              <w:rPr>
                <w:rFonts w:ascii="ˎ̥" w:eastAsia="宋体" w:hAnsi="ˎ̥" w:cs="Arial"/>
                <w:color w:val="000000"/>
                <w:kern w:val="0"/>
                <w:szCs w:val="21"/>
              </w:rPr>
              <w:t>日</w:t>
            </w:r>
          </w:p>
          <w:p w:rsidR="002502A0" w:rsidRPr="002502A0" w:rsidRDefault="002502A0" w:rsidP="002502A0">
            <w:pPr>
              <w:widowControl/>
              <w:spacing w:before="100" w:beforeAutospacing="1" w:after="100" w:afterAutospacing="1" w:line="480" w:lineRule="auto"/>
              <w:jc w:val="center"/>
              <w:rPr>
                <w:rFonts w:ascii="ˎ̥" w:eastAsia="宋体" w:hAnsi="ˎ̥" w:cs="Arial"/>
                <w:color w:val="000000"/>
                <w:kern w:val="0"/>
                <w:szCs w:val="21"/>
              </w:rPr>
            </w:pPr>
            <w:r w:rsidRPr="002502A0">
              <w:rPr>
                <w:rFonts w:ascii="ˎ̥" w:eastAsia="宋体" w:hAnsi="ˎ̥" w:cs="Arial"/>
                <w:color w:val="000000"/>
                <w:kern w:val="0"/>
                <w:sz w:val="18"/>
                <w:szCs w:val="18"/>
              </w:rPr>
              <w:br/>
            </w:r>
            <w:r w:rsidRPr="002502A0">
              <w:rPr>
                <w:rFonts w:ascii="ˎ̥" w:eastAsia="宋体" w:hAnsi="ˎ̥" w:cs="Arial"/>
                <w:b/>
                <w:bCs/>
                <w:color w:val="000000"/>
                <w:kern w:val="0"/>
                <w:szCs w:val="21"/>
              </w:rPr>
              <w:t>体外诊断试剂注册管理办法</w:t>
            </w:r>
          </w:p>
          <w:p w:rsidR="002502A0" w:rsidRPr="002502A0" w:rsidRDefault="002502A0" w:rsidP="002502A0">
            <w:pPr>
              <w:widowControl/>
              <w:spacing w:before="100" w:beforeAutospacing="1" w:after="100" w:afterAutospacing="1" w:line="480" w:lineRule="auto"/>
              <w:jc w:val="center"/>
              <w:rPr>
                <w:rFonts w:ascii="ˎ̥" w:eastAsia="宋体" w:hAnsi="ˎ̥" w:cs="Arial"/>
                <w:color w:val="000000"/>
                <w:kern w:val="0"/>
                <w:szCs w:val="21"/>
              </w:rPr>
            </w:pPr>
            <w:r w:rsidRPr="002502A0">
              <w:rPr>
                <w:rFonts w:ascii="ˎ̥" w:eastAsia="宋体" w:hAnsi="ˎ̥" w:cs="Arial"/>
                <w:color w:val="000000"/>
                <w:kern w:val="0"/>
                <w:szCs w:val="21"/>
              </w:rPr>
              <w:t>第一章　总　则</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第一条　为规范体外诊断试剂的注册与备案管理，保证体外诊断试剂的安全、有效，根</w:t>
            </w:r>
            <w:r w:rsidRPr="002502A0">
              <w:rPr>
                <w:rFonts w:ascii="ˎ̥" w:eastAsia="宋体" w:hAnsi="ˎ̥" w:cs="Arial"/>
                <w:color w:val="000000"/>
                <w:kern w:val="0"/>
                <w:szCs w:val="21"/>
              </w:rPr>
              <w:lastRenderedPageBreak/>
              <w:t>据《医疗器械监督管理条例》，制定本办法。</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第二条　在中华人民共和国境内销售、使用的体外诊断试剂，应当按照本办法的规定申请注册或者办理备案。</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第三条　本办法所称体外诊断试剂，是指按医疗器械管理的体外诊断试剂，包括在疾病的预测、预防、诊断、治疗监测、预后观察和健康状态评价的过程中，用于人体样本体外检测的试剂、试剂盒、校准品、</w:t>
            </w:r>
            <w:proofErr w:type="gramStart"/>
            <w:r w:rsidRPr="002502A0">
              <w:rPr>
                <w:rFonts w:ascii="ˎ̥" w:eastAsia="宋体" w:hAnsi="ˎ̥" w:cs="Arial"/>
                <w:color w:val="000000"/>
                <w:kern w:val="0"/>
                <w:szCs w:val="21"/>
              </w:rPr>
              <w:t>质控品等</w:t>
            </w:r>
            <w:proofErr w:type="gramEnd"/>
            <w:r w:rsidRPr="002502A0">
              <w:rPr>
                <w:rFonts w:ascii="ˎ̥" w:eastAsia="宋体" w:hAnsi="ˎ̥" w:cs="Arial"/>
                <w:color w:val="000000"/>
                <w:kern w:val="0"/>
                <w:szCs w:val="21"/>
              </w:rPr>
              <w:t>产品。可以单独使用，也可以与仪器、器具、设备或者系统组合使用。</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按照药品管理的用于血源筛查的体外诊断试剂和采用放射性核素标记的体外诊断试剂，不属于本办法管理范围。</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第四条　体外诊断试剂注册是食品药品监督管理部门根据注册申请人的申请，依照法定程序，对其拟上市体外诊断试剂的安全性、有效性研究及其结果进行系统评价，以决定是否同意其申请的过程。</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体外诊断试剂备案是备案人向食品药品监督管理部门提交备案资料，食品药品监督管理部门对提交的备案资料存档备查。</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第五条　体外诊断试剂注册与备案应当遵循公开、公平、公正的原则。</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第六条　第一类体外诊断试剂实行备案管理，第二类、第三类体外诊断试剂实行注册管理。</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境内第一类体外诊断试剂备案，备案人向设区的市级食品药品监督管理部门提交备案资料。</w:t>
            </w:r>
            <w:r w:rsidRPr="002502A0">
              <w:rPr>
                <w:rFonts w:ascii="ˎ̥" w:eastAsia="宋体" w:hAnsi="ˎ̥" w:cs="Arial"/>
                <w:color w:val="000000"/>
                <w:kern w:val="0"/>
                <w:sz w:val="18"/>
                <w:szCs w:val="18"/>
              </w:rPr>
              <w:br/>
            </w:r>
            <w:r w:rsidRPr="002502A0">
              <w:rPr>
                <w:rFonts w:ascii="ˎ̥" w:eastAsia="宋体" w:hAnsi="ˎ̥" w:cs="Arial"/>
                <w:color w:val="000000"/>
                <w:kern w:val="0"/>
                <w:szCs w:val="21"/>
              </w:rPr>
              <w:lastRenderedPageBreak/>
              <w:t xml:space="preserve">　　境内第二类体外诊断试剂由省、自治区、直辖市食品药品监督管理部门审查，批准后发给医疗器械注册证。</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境内第三类体外诊断试剂由国家食品药品监督管理总局审查，批准后发给医疗器械注册证。</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进口第一类体外诊断试剂备案，备案人向国家食品药品监督管理总局提交备案资料。</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进口第二类、第三类体外诊断试剂由国家食品药品监督管理总局审查，批准后发给医疗器械注册证。</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香港、澳门、台湾地区体外诊断试剂的注册、备案，参照进口体外诊断试剂办理。</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第七条　体外诊断试剂注册人、备案人以自己名义把产品推向市场，对产品负法律责任。</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第八条　食品药品监督管理部门依法及时公布体外诊断试剂注册、备案相关信息。申请人可以查询审批进度和结果，公众可以查阅审批结果。</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第九条　国家鼓励体外诊断试剂的研究与创新，对创新体外诊断试剂实行特别审批，促进体外诊断试剂新技术的推广与应用，推动医疗器械产业的发展。</w:t>
            </w:r>
          </w:p>
          <w:p w:rsidR="002502A0" w:rsidRPr="002502A0" w:rsidRDefault="002502A0" w:rsidP="002502A0">
            <w:pPr>
              <w:widowControl/>
              <w:spacing w:before="100" w:beforeAutospacing="1" w:after="100" w:afterAutospacing="1" w:line="480" w:lineRule="auto"/>
              <w:jc w:val="center"/>
              <w:rPr>
                <w:rFonts w:ascii="ˎ̥" w:eastAsia="宋体" w:hAnsi="ˎ̥" w:cs="Arial"/>
                <w:color w:val="000000"/>
                <w:kern w:val="0"/>
                <w:szCs w:val="21"/>
              </w:rPr>
            </w:pPr>
            <w:r w:rsidRPr="002502A0">
              <w:rPr>
                <w:rFonts w:ascii="ˎ̥" w:eastAsia="宋体" w:hAnsi="ˎ̥" w:cs="Arial"/>
                <w:color w:val="000000"/>
                <w:kern w:val="0"/>
                <w:szCs w:val="21"/>
              </w:rPr>
              <w:t>第二章　基本要求</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第十条　体外诊断试剂注册申请人和备案人应当建立与产品研制、生产有关的质量管理体系，并保持有效运行。</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按照创新医疗器械特别审批程序审批的境内体外诊断试剂申请注册时，样品委托其他企业生产的，应当委托具有相应生产范围的医疗器械生产企业；不属于按照创新医疗器械特别审批程序审批的境内体外诊断试剂申请注册时，样品不得委托其他企业生产。</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lastRenderedPageBreak/>
              <w:t xml:space="preserve">　　第十一条　办理体外诊断试剂注册或者备案事务的人员应当具有相应的专业知识，熟悉医疗器械注册或者备案管理的法律、法规、规章和技术要求。</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第十二条　体外诊断试剂产品研制包括：主要原材料的选择、制备，产品生产工艺的确定，产品技术要求的拟订，产品稳定性研究，阳性判断</w:t>
            </w:r>
            <w:proofErr w:type="gramStart"/>
            <w:r w:rsidRPr="002502A0">
              <w:rPr>
                <w:rFonts w:ascii="ˎ̥" w:eastAsia="宋体" w:hAnsi="ˎ̥" w:cs="Arial"/>
                <w:color w:val="000000"/>
                <w:kern w:val="0"/>
                <w:szCs w:val="21"/>
              </w:rPr>
              <w:t>值或者</w:t>
            </w:r>
            <w:proofErr w:type="gramEnd"/>
            <w:r w:rsidRPr="002502A0">
              <w:rPr>
                <w:rFonts w:ascii="ˎ̥" w:eastAsia="宋体" w:hAnsi="ˎ̥" w:cs="Arial"/>
                <w:color w:val="000000"/>
                <w:kern w:val="0"/>
                <w:szCs w:val="21"/>
              </w:rPr>
              <w:t>参考区间确定，产品分析性能评估，临床评价等相关工作。</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申请人或者备案人可以参考相关技术指导原则进行产品研制，也可以采用不同的实验方法或者技术手段，但应当说明其合理性。</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第十三条　申请人或者备案人申请注册或者办理备案，应当遵循体外诊断试剂安全有效的各项要求，保证研制过程规范，所有数据真实、完整和</w:t>
            </w:r>
            <w:proofErr w:type="gramStart"/>
            <w:r w:rsidRPr="002502A0">
              <w:rPr>
                <w:rFonts w:ascii="ˎ̥" w:eastAsia="宋体" w:hAnsi="ˎ̥" w:cs="Arial"/>
                <w:color w:val="000000"/>
                <w:kern w:val="0"/>
                <w:szCs w:val="21"/>
              </w:rPr>
              <w:t>可</w:t>
            </w:r>
            <w:proofErr w:type="gramEnd"/>
            <w:r w:rsidRPr="002502A0">
              <w:rPr>
                <w:rFonts w:ascii="ˎ̥" w:eastAsia="宋体" w:hAnsi="ˎ̥" w:cs="Arial"/>
                <w:color w:val="000000"/>
                <w:kern w:val="0"/>
                <w:szCs w:val="21"/>
              </w:rPr>
              <w:t>溯源。</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第十四条　申请注册或者办理备案的资料应当使用中文。根据外文资料翻译的，应当同时提供原文。引用未公开发表的文献资料时，应当提供资料所有者许可使用的证明文件。</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申请人、备案人对资料的真实性负责。</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第十五条　申请注册或者办理备案的进口体外诊断试剂，应当在申请人或者备案人注册地或者生产地址所在国家（地区）已获准上市销售。</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申请人或者备案人注册地或者生产地址所在国家（地区）未将该产品作为医疗器械管理的，申请人或者备案人需提供相关证明文件，包括注册地或者生产地址所在国家（地区）准许该产品上市销售的证明文件。</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第十六条　境外申请人或者备案人应当通过其在中国境内设立的代表机构或者指定中国境内的企业法人作为代理人，配合境外申请人或者备案人开展相关工作。</w:t>
            </w:r>
            <w:r w:rsidRPr="002502A0">
              <w:rPr>
                <w:rFonts w:ascii="ˎ̥" w:eastAsia="宋体" w:hAnsi="ˎ̥" w:cs="Arial"/>
                <w:color w:val="000000"/>
                <w:kern w:val="0"/>
                <w:sz w:val="18"/>
                <w:szCs w:val="18"/>
              </w:rPr>
              <w:br/>
            </w:r>
            <w:r w:rsidRPr="002502A0">
              <w:rPr>
                <w:rFonts w:ascii="ˎ̥" w:eastAsia="宋体" w:hAnsi="ˎ̥" w:cs="Arial"/>
                <w:color w:val="000000"/>
                <w:kern w:val="0"/>
                <w:szCs w:val="21"/>
              </w:rPr>
              <w:lastRenderedPageBreak/>
              <w:t xml:space="preserve">　　代理人除办理体外诊断试剂注册或者备案事宜外，还应当承担以下责任：</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（一）与相应食品药品监督管理部门、境外申请人或者备案人的联络；</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（二）向申请人或者备案人如实、准确传达相关的法规和技术要求；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（三）收集上市后体外诊断试剂不良事件信息并反馈境外注册人或者备案人，同时向相应的食品药品监督管理部门报告；</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（四）协调体外诊断试剂上市后的产品召回工作，并向相应的食品药品监督管理部门报告；</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（五）其他涉及产品质量和售后服务的连带责任。</w:t>
            </w:r>
          </w:p>
          <w:p w:rsidR="002502A0" w:rsidRPr="002502A0" w:rsidRDefault="002502A0" w:rsidP="002502A0">
            <w:pPr>
              <w:widowControl/>
              <w:spacing w:before="100" w:beforeAutospacing="1" w:after="100" w:afterAutospacing="1" w:line="480" w:lineRule="auto"/>
              <w:jc w:val="center"/>
              <w:rPr>
                <w:rFonts w:ascii="ˎ̥" w:eastAsia="宋体" w:hAnsi="ˎ̥" w:cs="Arial"/>
                <w:color w:val="000000"/>
                <w:kern w:val="0"/>
                <w:szCs w:val="21"/>
              </w:rPr>
            </w:pPr>
            <w:r w:rsidRPr="002502A0">
              <w:rPr>
                <w:rFonts w:ascii="ˎ̥" w:eastAsia="宋体" w:hAnsi="ˎ̥" w:cs="Arial"/>
                <w:color w:val="000000"/>
                <w:kern w:val="0"/>
                <w:szCs w:val="21"/>
              </w:rPr>
              <w:t>第三章　产品的分类与命名</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第十七条　根据产品风险程度由低到高，体外诊断试剂分为第一类、第二类、第三类产品。</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（一）第一类产品</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1.</w:t>
            </w:r>
            <w:r w:rsidRPr="002502A0">
              <w:rPr>
                <w:rFonts w:ascii="ˎ̥" w:eastAsia="宋体" w:hAnsi="ˎ̥" w:cs="Arial"/>
                <w:color w:val="000000"/>
                <w:kern w:val="0"/>
                <w:szCs w:val="21"/>
              </w:rPr>
              <w:t>微生物培养基（不用于微生物鉴别和药敏试验）；</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2.</w:t>
            </w:r>
            <w:r w:rsidRPr="002502A0">
              <w:rPr>
                <w:rFonts w:ascii="ˎ̥" w:eastAsia="宋体" w:hAnsi="ˎ̥" w:cs="Arial"/>
                <w:color w:val="000000"/>
                <w:kern w:val="0"/>
                <w:szCs w:val="21"/>
              </w:rPr>
              <w:t>样本处理用产品，如溶血剂、稀释液、染色液等。</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（二）第二类产品</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除已明确为第一类、第三类的产品，其他为第二类产品，主要包括：</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1.</w:t>
            </w:r>
            <w:r w:rsidRPr="002502A0">
              <w:rPr>
                <w:rFonts w:ascii="ˎ̥" w:eastAsia="宋体" w:hAnsi="ˎ̥" w:cs="Arial"/>
                <w:color w:val="000000"/>
                <w:kern w:val="0"/>
                <w:szCs w:val="21"/>
              </w:rPr>
              <w:t>用于蛋白质检测的试剂；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2.</w:t>
            </w:r>
            <w:r w:rsidRPr="002502A0">
              <w:rPr>
                <w:rFonts w:ascii="ˎ̥" w:eastAsia="宋体" w:hAnsi="ˎ̥" w:cs="Arial"/>
                <w:color w:val="000000"/>
                <w:kern w:val="0"/>
                <w:szCs w:val="21"/>
              </w:rPr>
              <w:t>用于糖类检测的试剂；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3.</w:t>
            </w:r>
            <w:r w:rsidRPr="002502A0">
              <w:rPr>
                <w:rFonts w:ascii="ˎ̥" w:eastAsia="宋体" w:hAnsi="ˎ̥" w:cs="Arial"/>
                <w:color w:val="000000"/>
                <w:kern w:val="0"/>
                <w:szCs w:val="21"/>
              </w:rPr>
              <w:t>用于激素检测的试剂；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4.</w:t>
            </w:r>
            <w:r w:rsidRPr="002502A0">
              <w:rPr>
                <w:rFonts w:ascii="ˎ̥" w:eastAsia="宋体" w:hAnsi="ˎ̥" w:cs="Arial"/>
                <w:color w:val="000000"/>
                <w:kern w:val="0"/>
                <w:szCs w:val="21"/>
              </w:rPr>
              <w:t>用于酶类检测的试剂；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lastRenderedPageBreak/>
              <w:t xml:space="preserve">　　</w:t>
            </w:r>
            <w:r w:rsidRPr="002502A0">
              <w:rPr>
                <w:rFonts w:ascii="ˎ̥" w:eastAsia="宋体" w:hAnsi="ˎ̥" w:cs="Arial"/>
                <w:color w:val="000000"/>
                <w:kern w:val="0"/>
                <w:szCs w:val="21"/>
              </w:rPr>
              <w:t>5.</w:t>
            </w:r>
            <w:r w:rsidRPr="002502A0">
              <w:rPr>
                <w:rFonts w:ascii="ˎ̥" w:eastAsia="宋体" w:hAnsi="ˎ̥" w:cs="Arial"/>
                <w:color w:val="000000"/>
                <w:kern w:val="0"/>
                <w:szCs w:val="21"/>
              </w:rPr>
              <w:t>用于酯类检测的试剂；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6.</w:t>
            </w:r>
            <w:r w:rsidRPr="002502A0">
              <w:rPr>
                <w:rFonts w:ascii="ˎ̥" w:eastAsia="宋体" w:hAnsi="ˎ̥" w:cs="Arial"/>
                <w:color w:val="000000"/>
                <w:kern w:val="0"/>
                <w:szCs w:val="21"/>
              </w:rPr>
              <w:t>用于维生素检测的试剂；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7.</w:t>
            </w:r>
            <w:r w:rsidRPr="002502A0">
              <w:rPr>
                <w:rFonts w:ascii="ˎ̥" w:eastAsia="宋体" w:hAnsi="ˎ̥" w:cs="Arial"/>
                <w:color w:val="000000"/>
                <w:kern w:val="0"/>
                <w:szCs w:val="21"/>
              </w:rPr>
              <w:t>用于无机离子检测的试剂；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8.</w:t>
            </w:r>
            <w:r w:rsidRPr="002502A0">
              <w:rPr>
                <w:rFonts w:ascii="ˎ̥" w:eastAsia="宋体" w:hAnsi="ˎ̥" w:cs="Arial"/>
                <w:color w:val="000000"/>
                <w:kern w:val="0"/>
                <w:szCs w:val="21"/>
              </w:rPr>
              <w:t>用于药物及药物代谢物检测的试剂；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9.</w:t>
            </w:r>
            <w:r w:rsidRPr="002502A0">
              <w:rPr>
                <w:rFonts w:ascii="ˎ̥" w:eastAsia="宋体" w:hAnsi="ˎ̥" w:cs="Arial"/>
                <w:color w:val="000000"/>
                <w:kern w:val="0"/>
                <w:szCs w:val="21"/>
              </w:rPr>
              <w:t>用于自身抗体检测的试剂；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10.</w:t>
            </w:r>
            <w:r w:rsidRPr="002502A0">
              <w:rPr>
                <w:rFonts w:ascii="ˎ̥" w:eastAsia="宋体" w:hAnsi="ˎ̥" w:cs="Arial"/>
                <w:color w:val="000000"/>
                <w:kern w:val="0"/>
                <w:szCs w:val="21"/>
              </w:rPr>
              <w:t>用于微生物鉴别或者药敏试验的试剂；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11.</w:t>
            </w:r>
            <w:r w:rsidRPr="002502A0">
              <w:rPr>
                <w:rFonts w:ascii="ˎ̥" w:eastAsia="宋体" w:hAnsi="ˎ̥" w:cs="Arial"/>
                <w:color w:val="000000"/>
                <w:kern w:val="0"/>
                <w:szCs w:val="21"/>
              </w:rPr>
              <w:t>用于其他生理、生化或者免疫功能指标检测的试剂。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（三）第三类产品</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1.</w:t>
            </w:r>
            <w:r w:rsidRPr="002502A0">
              <w:rPr>
                <w:rFonts w:ascii="ˎ̥" w:eastAsia="宋体" w:hAnsi="ˎ̥" w:cs="Arial"/>
                <w:color w:val="000000"/>
                <w:kern w:val="0"/>
                <w:szCs w:val="21"/>
              </w:rPr>
              <w:t>与致病性病原体抗原、抗体以及核酸等检测相关的试剂；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2.</w:t>
            </w:r>
            <w:r w:rsidRPr="002502A0">
              <w:rPr>
                <w:rFonts w:ascii="ˎ̥" w:eastAsia="宋体" w:hAnsi="ˎ̥" w:cs="Arial"/>
                <w:color w:val="000000"/>
                <w:kern w:val="0"/>
                <w:szCs w:val="21"/>
              </w:rPr>
              <w:t>与血型、组织配型相关的试剂；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3.</w:t>
            </w:r>
            <w:r w:rsidRPr="002502A0">
              <w:rPr>
                <w:rFonts w:ascii="ˎ̥" w:eastAsia="宋体" w:hAnsi="ˎ̥" w:cs="Arial"/>
                <w:color w:val="000000"/>
                <w:kern w:val="0"/>
                <w:szCs w:val="21"/>
              </w:rPr>
              <w:t>与人类基因检测相关的试剂；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4.</w:t>
            </w:r>
            <w:r w:rsidRPr="002502A0">
              <w:rPr>
                <w:rFonts w:ascii="ˎ̥" w:eastAsia="宋体" w:hAnsi="ˎ̥" w:cs="Arial"/>
                <w:color w:val="000000"/>
                <w:kern w:val="0"/>
                <w:szCs w:val="21"/>
              </w:rPr>
              <w:t>与遗传性疾病相关的试剂；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5.</w:t>
            </w:r>
            <w:r w:rsidRPr="002502A0">
              <w:rPr>
                <w:rFonts w:ascii="ˎ̥" w:eastAsia="宋体" w:hAnsi="ˎ̥" w:cs="Arial"/>
                <w:color w:val="000000"/>
                <w:kern w:val="0"/>
                <w:szCs w:val="21"/>
              </w:rPr>
              <w:t>与麻醉药品、精神药品、医疗用毒性药品检测相关的试剂；</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6.</w:t>
            </w:r>
            <w:r w:rsidRPr="002502A0">
              <w:rPr>
                <w:rFonts w:ascii="ˎ̥" w:eastAsia="宋体" w:hAnsi="ˎ̥" w:cs="Arial"/>
                <w:color w:val="000000"/>
                <w:kern w:val="0"/>
                <w:szCs w:val="21"/>
              </w:rPr>
              <w:t>与治疗药物作用靶点检测相关的试剂</w:t>
            </w:r>
            <w:r w:rsidRPr="002502A0">
              <w:rPr>
                <w:rFonts w:ascii="ˎ̥" w:eastAsia="宋体" w:hAnsi="ˎ̥" w:cs="Arial"/>
                <w:color w:val="000000"/>
                <w:kern w:val="0"/>
                <w:szCs w:val="21"/>
              </w:rPr>
              <w:t>;</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7.</w:t>
            </w:r>
            <w:r w:rsidRPr="002502A0">
              <w:rPr>
                <w:rFonts w:ascii="ˎ̥" w:eastAsia="宋体" w:hAnsi="ˎ̥" w:cs="Arial"/>
                <w:color w:val="000000"/>
                <w:kern w:val="0"/>
                <w:szCs w:val="21"/>
              </w:rPr>
              <w:t>与肿瘤标志物检测相关的试剂</w:t>
            </w:r>
            <w:r w:rsidRPr="002502A0">
              <w:rPr>
                <w:rFonts w:ascii="ˎ̥" w:eastAsia="宋体" w:hAnsi="ˎ̥" w:cs="Arial"/>
                <w:color w:val="000000"/>
                <w:kern w:val="0"/>
                <w:szCs w:val="21"/>
              </w:rPr>
              <w:t>;</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w:t>
            </w:r>
            <w:r w:rsidRPr="002502A0">
              <w:rPr>
                <w:rFonts w:ascii="ˎ̥" w:eastAsia="宋体" w:hAnsi="ˎ̥" w:cs="Arial"/>
                <w:color w:val="000000"/>
                <w:kern w:val="0"/>
                <w:szCs w:val="21"/>
              </w:rPr>
              <w:t>8.</w:t>
            </w:r>
            <w:r w:rsidRPr="002502A0">
              <w:rPr>
                <w:rFonts w:ascii="ˎ̥" w:eastAsia="宋体" w:hAnsi="ˎ̥" w:cs="Arial"/>
                <w:color w:val="000000"/>
                <w:kern w:val="0"/>
                <w:szCs w:val="21"/>
              </w:rPr>
              <w:t>与变态反应（过敏原）相关的试剂。</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第十八条　第十七条所列的第二类产品如用于肿瘤的诊断、辅助诊断、治疗过程的监测，或者用于遗传性疾病的诊断、辅助诊断等，按第三类产品注册管理。用于药物及药物代谢物检测的试剂，如该药物属于麻醉药品、精神药品或者医疗用毒性药品范围的，按第三类产品注册管理。</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lastRenderedPageBreak/>
              <w:t xml:space="preserve">　　第十九条　校准品、</w:t>
            </w:r>
            <w:proofErr w:type="gramStart"/>
            <w:r w:rsidRPr="002502A0">
              <w:rPr>
                <w:rFonts w:ascii="ˎ̥" w:eastAsia="宋体" w:hAnsi="ˎ̥" w:cs="Arial"/>
                <w:color w:val="000000"/>
                <w:kern w:val="0"/>
                <w:szCs w:val="21"/>
              </w:rPr>
              <w:t>质控品可以</w:t>
            </w:r>
            <w:proofErr w:type="gramEnd"/>
            <w:r w:rsidRPr="002502A0">
              <w:rPr>
                <w:rFonts w:ascii="ˎ̥" w:eastAsia="宋体" w:hAnsi="ˎ̥" w:cs="Arial"/>
                <w:color w:val="000000"/>
                <w:kern w:val="0"/>
                <w:szCs w:val="21"/>
              </w:rPr>
              <w:t>与配合使用的体外诊断试剂合并申请注册，也可以单独申请注册。</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与第一类体外诊断试剂配合使用的校准品、质控品，按第二类产品进行注册；与第二类、第三类体外诊断试剂配合使用的校准品、</w:t>
            </w:r>
            <w:proofErr w:type="gramStart"/>
            <w:r w:rsidRPr="002502A0">
              <w:rPr>
                <w:rFonts w:ascii="ˎ̥" w:eastAsia="宋体" w:hAnsi="ˎ̥" w:cs="Arial"/>
                <w:color w:val="000000"/>
                <w:kern w:val="0"/>
                <w:szCs w:val="21"/>
              </w:rPr>
              <w:t>质控品单独</w:t>
            </w:r>
            <w:proofErr w:type="gramEnd"/>
            <w:r w:rsidRPr="002502A0">
              <w:rPr>
                <w:rFonts w:ascii="ˎ̥" w:eastAsia="宋体" w:hAnsi="ˎ̥" w:cs="Arial"/>
                <w:color w:val="000000"/>
                <w:kern w:val="0"/>
                <w:szCs w:val="21"/>
              </w:rPr>
              <w:t>申请注册时，按与试剂相同的类别进行注册；多项校准品、质控品，按其中的高类别进行注册。</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第二十条　国家食品药品监督管理总局负责体外诊断试剂产品分类目录的制定和调整。</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对新研制的尚未列入体外诊断试剂分类目录的体外诊断试剂，申请人可以直接申请第三类体外诊断试剂产品注册，也可以依据分类规则判断产品类别向国家食品药品监督管理总局申请类别确认后，申请产品注册或者办理产品备案。</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直接申请第三类体外诊断试剂注册的，国家食品药品监督管理总局按照风险程度确定类别。境内体外诊断试剂确定为第二类的，国家食品药品监督管理总局将申报资料转申请人所在地省、自治区、直辖市食品药品监督管理部门审评审批；境内体外诊断试剂确定为第一类的，国家食品药品监督管理总局将申报资料转申请人所在地设区的市级食品药品监督管理部门备案。</w:t>
            </w:r>
          </w:p>
          <w:p w:rsidR="002502A0" w:rsidRPr="002502A0" w:rsidRDefault="002502A0" w:rsidP="002502A0">
            <w:pPr>
              <w:widowControl/>
              <w:spacing w:before="100" w:beforeAutospacing="1" w:after="100" w:afterAutospacing="1" w:line="480" w:lineRule="auto"/>
              <w:jc w:val="left"/>
              <w:rPr>
                <w:rFonts w:ascii="ˎ̥" w:eastAsia="宋体" w:hAnsi="ˎ̥" w:cs="Arial"/>
                <w:color w:val="000000"/>
                <w:kern w:val="0"/>
                <w:szCs w:val="21"/>
              </w:rPr>
            </w:pPr>
            <w:r w:rsidRPr="002502A0">
              <w:rPr>
                <w:rFonts w:ascii="ˎ̥" w:eastAsia="宋体" w:hAnsi="ˎ̥" w:cs="Arial"/>
                <w:color w:val="000000"/>
                <w:kern w:val="0"/>
                <w:szCs w:val="21"/>
              </w:rPr>
              <w:t xml:space="preserve">　　第二十一条　体外诊断试剂的命名应当遵循以下原则：</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体外诊断试剂的产品名称一般可以由三部分组成。第一部分：被测物质的名称；第二部分：用途，如诊断血清、测定试剂盒、</w:t>
            </w:r>
            <w:proofErr w:type="gramStart"/>
            <w:r w:rsidRPr="002502A0">
              <w:rPr>
                <w:rFonts w:ascii="ˎ̥" w:eastAsia="宋体" w:hAnsi="ˎ̥" w:cs="Arial"/>
                <w:color w:val="000000"/>
                <w:kern w:val="0"/>
                <w:szCs w:val="21"/>
              </w:rPr>
              <w:t>质控品等</w:t>
            </w:r>
            <w:proofErr w:type="gramEnd"/>
            <w:r w:rsidRPr="002502A0">
              <w:rPr>
                <w:rFonts w:ascii="ˎ̥" w:eastAsia="宋体" w:hAnsi="ˎ̥" w:cs="Arial"/>
                <w:color w:val="000000"/>
                <w:kern w:val="0"/>
                <w:szCs w:val="21"/>
              </w:rPr>
              <w:t>；第三部分：方法或者原理，</w:t>
            </w:r>
            <w:proofErr w:type="gramStart"/>
            <w:r w:rsidRPr="002502A0">
              <w:rPr>
                <w:rFonts w:ascii="ˎ̥" w:eastAsia="宋体" w:hAnsi="ˎ̥" w:cs="Arial"/>
                <w:color w:val="000000"/>
                <w:kern w:val="0"/>
                <w:szCs w:val="21"/>
              </w:rPr>
              <w:t>如酶联</w:t>
            </w:r>
            <w:proofErr w:type="gramEnd"/>
            <w:r w:rsidRPr="002502A0">
              <w:rPr>
                <w:rFonts w:ascii="ˎ̥" w:eastAsia="宋体" w:hAnsi="ˎ̥" w:cs="Arial"/>
                <w:color w:val="000000"/>
                <w:kern w:val="0"/>
                <w:szCs w:val="21"/>
              </w:rPr>
              <w:t>免疫吸附法、胶体金法等，本部分应当在括号中列出。</w:t>
            </w:r>
            <w:r w:rsidRPr="002502A0">
              <w:rPr>
                <w:rFonts w:ascii="ˎ̥" w:eastAsia="宋体" w:hAnsi="ˎ̥" w:cs="Arial"/>
                <w:color w:val="000000"/>
                <w:kern w:val="0"/>
                <w:sz w:val="18"/>
                <w:szCs w:val="18"/>
              </w:rPr>
              <w:br/>
            </w:r>
            <w:r w:rsidRPr="002502A0">
              <w:rPr>
                <w:rFonts w:ascii="ˎ̥" w:eastAsia="宋体" w:hAnsi="ˎ̥" w:cs="Arial"/>
                <w:color w:val="000000"/>
                <w:kern w:val="0"/>
                <w:szCs w:val="21"/>
              </w:rPr>
              <w:t xml:space="preserve">　　如果被测物组分较多或者有其他特殊情况，可以采用与产品相关的适应症名称或者其他替代名称。</w:t>
            </w:r>
            <w:r w:rsidRPr="002502A0">
              <w:rPr>
                <w:rFonts w:ascii="ˎ̥" w:eastAsia="宋体" w:hAnsi="ˎ̥" w:cs="Arial"/>
                <w:color w:val="000000"/>
                <w:kern w:val="0"/>
                <w:sz w:val="18"/>
                <w:szCs w:val="18"/>
              </w:rPr>
              <w:br/>
            </w:r>
            <w:r w:rsidRPr="002502A0">
              <w:rPr>
                <w:rFonts w:ascii="ˎ̥" w:eastAsia="宋体" w:hAnsi="ˎ̥" w:cs="Arial"/>
                <w:color w:val="000000"/>
                <w:kern w:val="0"/>
                <w:szCs w:val="21"/>
              </w:rPr>
              <w:lastRenderedPageBreak/>
              <w:t xml:space="preserve">　　第一类产品和校准品、质控品，依据其预期用途进行命名。</w:t>
            </w:r>
          </w:p>
        </w:tc>
      </w:tr>
      <w:tr w:rsidR="002502A0" w:rsidRPr="002502A0">
        <w:trPr>
          <w:tblCellSpacing w:w="0" w:type="dxa"/>
          <w:jc w:val="center"/>
        </w:trPr>
        <w:tc>
          <w:tcPr>
            <w:tcW w:w="0" w:type="auto"/>
            <w:vAlign w:val="center"/>
            <w:hideMark/>
          </w:tcPr>
          <w:p w:rsidR="002502A0" w:rsidRPr="002502A0" w:rsidRDefault="002502A0" w:rsidP="002502A0">
            <w:pPr>
              <w:widowControl/>
              <w:spacing w:line="408" w:lineRule="auto"/>
              <w:jc w:val="left"/>
              <w:rPr>
                <w:rFonts w:ascii="ˎ̥" w:eastAsia="宋体" w:hAnsi="ˎ̥" w:cs="Arial"/>
                <w:kern w:val="0"/>
                <w:sz w:val="18"/>
                <w:szCs w:val="18"/>
              </w:rPr>
            </w:pPr>
          </w:p>
        </w:tc>
      </w:tr>
    </w:tbl>
    <w:p w:rsidR="009659AF" w:rsidRPr="002502A0" w:rsidRDefault="009659AF"/>
    <w:sectPr w:rsidR="009659AF" w:rsidRPr="002502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51"/>
    <w:rsid w:val="002502A0"/>
    <w:rsid w:val="006E1151"/>
    <w:rsid w:val="00965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537</Words>
  <Characters>3063</Characters>
  <Application>Microsoft Office Word</Application>
  <DocSecurity>0</DocSecurity>
  <Lines>25</Lines>
  <Paragraphs>7</Paragraphs>
  <ScaleCrop>false</ScaleCrop>
  <Company>微软中国</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2016-06-29T02:54:00Z</dcterms:created>
  <dcterms:modified xsi:type="dcterms:W3CDTF">2016-06-29T02:54:00Z</dcterms:modified>
</cp:coreProperties>
</file>