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99" w:line="204" w:lineRule="auto"/>
        <w:rPr>
          <w:rFonts w:hint="eastAsia" w:ascii="仿宋" w:hAnsi="仿宋" w:eastAsia="仿宋" w:cs="仿宋"/>
          <w:sz w:val="28"/>
          <w:szCs w:val="28"/>
        </w:rPr>
      </w:pPr>
      <w:r>
        <w:rPr>
          <w:rFonts w:hint="eastAsia" w:ascii="仿宋" w:hAnsi="仿宋" w:eastAsia="仿宋" w:cs="仿宋"/>
          <w:spacing w:val="-18"/>
          <w:sz w:val="28"/>
          <w:szCs w:val="28"/>
        </w:rPr>
        <w:t>附件1</w:t>
      </w:r>
    </w:p>
    <w:p>
      <w:pPr>
        <w:spacing w:before="141" w:line="204" w:lineRule="auto"/>
        <w:jc w:val="center"/>
        <w:rPr>
          <w:rFonts w:hint="eastAsia" w:ascii="方正公文小标宋" w:hAnsi="方正公文小标宋" w:eastAsia="方正公文小标宋" w:cs="方正公文小标宋"/>
          <w:sz w:val="32"/>
          <w:szCs w:val="32"/>
        </w:rPr>
      </w:pPr>
      <w:r>
        <w:rPr>
          <w:rFonts w:hint="eastAsia" w:ascii="方正公文小标宋" w:hAnsi="方正公文小标宋" w:eastAsia="方正公文小标宋" w:cs="方正公文小标宋"/>
          <w:spacing w:val="10"/>
          <w:sz w:val="32"/>
          <w:szCs w:val="32"/>
        </w:rPr>
        <w:t>中医药国际化优秀骨干人才外语语言要求</w:t>
      </w:r>
    </w:p>
    <w:p>
      <w:pPr>
        <w:rPr>
          <w:rFonts w:hint="eastAsia" w:ascii="仿宋" w:hAnsi="仿宋" w:eastAsia="仿宋" w:cs="仿宋"/>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z w:val="28"/>
          <w:szCs w:val="28"/>
          <w:lang w:eastAsia="zh-CN"/>
        </w:rPr>
      </w:pPr>
      <w:r>
        <w:rPr>
          <w:rFonts w:hint="eastAsia" w:ascii="仿宋" w:hAnsi="仿宋" w:eastAsia="仿宋" w:cs="仿宋"/>
          <w:sz w:val="28"/>
          <w:szCs w:val="28"/>
        </w:rPr>
        <w:t>一、作为中医药国际化骨干人才，外语水平需达到以下条件之一</w:t>
      </w:r>
      <w:r>
        <w:rPr>
          <w:rFonts w:hint="eastAsia" w:ascii="仿宋" w:hAnsi="仿宋" w:eastAsia="仿宋" w:cs="仿宋"/>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 参加"全国外语水平考试"（WSK）并达到合格标准。</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2.参加雅思（学术类）、托福、德、法、意、西、日、韩语水平考</w:t>
      </w:r>
      <w:bookmarkStart w:id="0" w:name="_GoBack"/>
      <w:bookmarkEnd w:id="0"/>
      <w:r>
        <w:rPr>
          <w:rFonts w:hint="eastAsia" w:ascii="仿宋" w:hAnsi="仿宋" w:eastAsia="仿宋" w:cs="仿宋"/>
          <w:sz w:val="28"/>
          <w:szCs w:val="28"/>
        </w:rPr>
        <w:t>试，成绩达到以下标准∶雅思6.5 分，托福（IBT）95 分，德、法、意、西语达到欧洲统一语言参考框架（CECRL）的 B2 级，日语达到二级（N2）， 韩语达到 TOPIK4级。</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3.曾在教育部指定出国留学培训部参加相关语种培训并获得结业证书（英语为高级班，其他语种为中级班）。</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二、关于外语合格条件的说明</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z w:val="28"/>
          <w:szCs w:val="28"/>
          <w:u w:val="single"/>
        </w:rPr>
      </w:pPr>
      <w:r>
        <w:rPr>
          <w:rFonts w:hint="eastAsia" w:ascii="仿宋" w:hAnsi="仿宋" w:eastAsia="仿宋" w:cs="仿宋"/>
          <w:sz w:val="28"/>
          <w:szCs w:val="28"/>
          <w:u w:val="single"/>
        </w:rPr>
        <w:t>1.上述外语合格条件系纳入中医药国际化骨干人才培养项目申请和入库的统一标准，入库前满足条件且外语成绩证明在有效期内，即可视为外语合格。全国外语水平考试（WSK）</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教育部出国留学人员培训部结业证书、雅思、托福、欧洲统一语言参考框架（CECRL）</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韩语（TOPIK）</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目语（JLPT）成绩有效期</w:t>
      </w:r>
      <w:r>
        <w:rPr>
          <w:rFonts w:hint="eastAsia" w:ascii="仿宋" w:hAnsi="仿宋" w:eastAsia="仿宋" w:cs="仿宋"/>
          <w:b/>
          <w:bCs/>
          <w:sz w:val="28"/>
          <w:szCs w:val="28"/>
          <w:u w:val="single"/>
        </w:rPr>
        <w:t>均为两年</w:t>
      </w:r>
      <w:r>
        <w:rPr>
          <w:rFonts w:hint="eastAsia" w:ascii="仿宋" w:hAnsi="仿宋" w:eastAsia="仿宋" w:cs="仿宋"/>
          <w:sz w:val="28"/>
          <w:szCs w:val="28"/>
          <w:u w:val="singl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全国外语水平考试（WSK）的证明材料为全国外语水平考试（WSK）成绩通知单。</w:t>
      </w:r>
    </w:p>
    <w:p>
      <w:pPr>
        <w:keepNext w:val="0"/>
        <w:keepLines w:val="0"/>
        <w:pageBreakBefore w:val="0"/>
        <w:widowControl/>
        <w:kinsoku w:val="0"/>
        <w:wordWrap/>
        <w:overflowPunct/>
        <w:topLinePunct w:val="0"/>
        <w:autoSpaceDE w:val="0"/>
        <w:autoSpaceDN w:val="0"/>
        <w:bidi w:val="0"/>
        <w:adjustRightInd w:val="0"/>
        <w:snapToGrid w:val="0"/>
        <w:spacing w:line="560" w:lineRule="exact"/>
        <w:ind w:firstLine="560" w:firstLineChars="200"/>
        <w:textAlignment w:val="baseline"/>
        <w:rPr>
          <w:rFonts w:ascii="黑体" w:hAnsi="黑体" w:eastAsia="黑体" w:cs="黑体"/>
          <w:sz w:val="12"/>
          <w:szCs w:val="12"/>
        </w:rPr>
      </w:pPr>
      <w:r>
        <w:rPr>
          <w:rFonts w:hint="eastAsia" w:ascii="仿宋" w:hAnsi="仿宋" w:eastAsia="仿宋" w:cs="仿宋"/>
          <w:sz w:val="28"/>
          <w:szCs w:val="28"/>
        </w:rPr>
        <w:t>3.德语、法语、西班牙语、意大利语达到欧洲统一语言参考框架（CECRL）B2级包括参加相应语种考试并取得等同于CECRL B2级的证书或成绩，如德语TestDaF12分以上，法语TEF541分以上、TCF400分以上、DELFB2，西班牙语 TELEB2，意大利语CELI3 、CILSDue B2、PLIDA B2等。</w:t>
      </w:r>
    </w:p>
    <w:sectPr>
      <w:pgSz w:w="11900" w:h="16830"/>
      <w:pgMar w:top="1430" w:right="1489" w:bottom="0" w:left="14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altName w:val="宋体"/>
    <w:panose1 w:val="02000500000000000000"/>
    <w:charset w:val="86"/>
    <w:family w:val="auto"/>
    <w:pitch w:val="default"/>
    <w:sig w:usb0="00000000" w:usb1="0000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7821230"/>
    <w:rsid w:val="56B12AA7"/>
    <w:rsid w:val="7CA150A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customStyle="1" w:styleId="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Office_11.1.0.10667_F1E327BC-269C-435d-A152-05C5408002CA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2021-07-20T03:19:00Z</dcterms:created>
  <dc:creator>tghg</dc:creator>
  <cp:lastModifiedBy>L</cp:lastModifiedBy>
  <dcterms:modified xsi:type="dcterms:W3CDTF">2021-07-21T01:17:21Z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E52E072B08DD449F92FB53BF8EF879F9</vt:lpwstr>
  </property>
</Properties>
</file>